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42" w:rsidRDefault="00CB41D7" w:rsidP="00F3282B">
      <w:pPr>
        <w:ind w:left="-1800" w:right="-1800" w:firstLine="1800"/>
        <w:rPr>
          <w:lang w:val="en-AU"/>
        </w:rPr>
      </w:pPr>
      <w:bookmarkStart w:id="0" w:name="_GoBack"/>
      <w:bookmarkEnd w:id="0"/>
      <w:r>
        <w:rPr>
          <w:rFonts w:ascii="Arial" w:hAnsi="Arial" w:cs="Arial"/>
          <w:sz w:val="20"/>
          <w:lang w:val="en-AU"/>
        </w:rPr>
        <w:t>ADVOCACY FACT SHEET 11</w:t>
      </w:r>
    </w:p>
    <w:p w:rsidR="00795242" w:rsidRPr="0098369C" w:rsidRDefault="00795242" w:rsidP="00F3282B">
      <w:pPr>
        <w:ind w:left="-1800" w:right="-1800" w:firstLine="1800"/>
        <w:rPr>
          <w:sz w:val="18"/>
          <w:lang w:val="en-AU"/>
        </w:rPr>
      </w:pPr>
    </w:p>
    <w:p w:rsidR="00795242" w:rsidRDefault="00795242" w:rsidP="00F3282B">
      <w:pPr>
        <w:ind w:left="-1800" w:right="-1800" w:firstLine="1800"/>
        <w:rPr>
          <w:lang w:val="en-AU"/>
        </w:rPr>
      </w:pPr>
    </w:p>
    <w:p w:rsidR="00795242" w:rsidRPr="00795242" w:rsidRDefault="00795242" w:rsidP="00795242">
      <w:pPr>
        <w:pBdr>
          <w:bottom w:val="single" w:sz="8" w:space="11" w:color="4F81BD"/>
        </w:pBdr>
        <w:spacing w:after="300"/>
        <w:contextualSpacing/>
        <w:rPr>
          <w:rFonts w:ascii="Arial" w:eastAsia="Times New Roman" w:hAnsi="Arial" w:cs="Arial"/>
          <w:color w:val="17365D"/>
          <w:spacing w:val="5"/>
          <w:kern w:val="28"/>
          <w:sz w:val="44"/>
          <w:szCs w:val="44"/>
          <w:lang w:val="en-AU" w:eastAsia="en-AU"/>
        </w:rPr>
      </w:pPr>
      <w:r w:rsidRPr="00795242">
        <w:rPr>
          <w:rFonts w:ascii="Arial" w:eastAsia="Times New Roman" w:hAnsi="Arial" w:cs="Arial"/>
          <w:color w:val="17365D"/>
          <w:spacing w:val="5"/>
          <w:kern w:val="28"/>
          <w:sz w:val="44"/>
          <w:szCs w:val="44"/>
          <w:lang w:val="en-AU" w:eastAsia="en-AU"/>
        </w:rPr>
        <w:t xml:space="preserve">Problem Gambling and </w:t>
      </w:r>
    </w:p>
    <w:p w:rsidR="00795242" w:rsidRPr="00795242" w:rsidRDefault="00795242" w:rsidP="00795242">
      <w:pPr>
        <w:pBdr>
          <w:bottom w:val="single" w:sz="8" w:space="11" w:color="4F81BD"/>
        </w:pBdr>
        <w:spacing w:after="300"/>
        <w:contextualSpacing/>
        <w:rPr>
          <w:rFonts w:ascii="Arial" w:eastAsia="Times New Roman" w:hAnsi="Arial" w:cs="Arial"/>
          <w:color w:val="17365D"/>
          <w:spacing w:val="5"/>
          <w:kern w:val="28"/>
          <w:sz w:val="44"/>
          <w:szCs w:val="44"/>
          <w:lang w:val="en-AU" w:eastAsia="en-AU"/>
        </w:rPr>
      </w:pPr>
      <w:r w:rsidRPr="00795242">
        <w:rPr>
          <w:rFonts w:ascii="Arial" w:eastAsia="Times New Roman" w:hAnsi="Arial" w:cs="Arial"/>
          <w:color w:val="17365D"/>
          <w:spacing w:val="5"/>
          <w:kern w:val="28"/>
          <w:sz w:val="44"/>
          <w:szCs w:val="44"/>
          <w:lang w:val="en-AU" w:eastAsia="en-AU"/>
        </w:rPr>
        <w:t>Financial Hardship in the City of Whittlesea</w:t>
      </w:r>
    </w:p>
    <w:p w:rsidR="00795242" w:rsidRPr="00795242" w:rsidRDefault="00795242" w:rsidP="00795242">
      <w:pPr>
        <w:keepNext/>
        <w:outlineLvl w:val="0"/>
        <w:rPr>
          <w:rFonts w:ascii="Arial" w:eastAsia="Times New Roman" w:hAnsi="Arial" w:cs="Arial"/>
          <w:b/>
          <w:color w:val="17365D"/>
          <w:lang w:val="en-GB" w:eastAsia="en-AU"/>
        </w:rPr>
      </w:pPr>
    </w:p>
    <w:p w:rsidR="00795242" w:rsidRPr="00795242" w:rsidRDefault="00795242" w:rsidP="00795242">
      <w:pPr>
        <w:keepNext/>
        <w:spacing w:line="280" w:lineRule="atLeast"/>
        <w:contextualSpacing/>
        <w:outlineLvl w:val="0"/>
        <w:rPr>
          <w:rFonts w:ascii="Arial" w:eastAsia="Times New Roman" w:hAnsi="Arial" w:cs="Arial"/>
          <w:b/>
          <w:color w:val="17365D"/>
          <w:sz w:val="22"/>
          <w:szCs w:val="22"/>
          <w:lang w:val="en-GB" w:eastAsia="en-AU"/>
        </w:rPr>
      </w:pPr>
      <w:r w:rsidRPr="00795242">
        <w:rPr>
          <w:rFonts w:ascii="Arial" w:eastAsia="Times New Roman" w:hAnsi="Arial" w:cs="Arial"/>
          <w:b/>
          <w:color w:val="17365D"/>
          <w:sz w:val="22"/>
          <w:szCs w:val="22"/>
          <w:lang w:val="en-GB" w:eastAsia="en-AU"/>
        </w:rPr>
        <w:t>Whittlesea Community Futures calls on the State Government to take action on problem gambling in the City of Whittlesea by:</w:t>
      </w:r>
    </w:p>
    <w:p w:rsidR="00795242" w:rsidRPr="00795242" w:rsidRDefault="00795242" w:rsidP="00795242">
      <w:pPr>
        <w:spacing w:line="280" w:lineRule="atLeast"/>
        <w:contextualSpacing/>
        <w:rPr>
          <w:rFonts w:ascii="Arial" w:eastAsia="Calibri" w:hAnsi="Arial" w:cs="Arial"/>
          <w:sz w:val="22"/>
          <w:szCs w:val="22"/>
          <w:lang w:val="en-AU"/>
        </w:rPr>
      </w:pPr>
    </w:p>
    <w:p w:rsidR="00795242" w:rsidRPr="00795242" w:rsidRDefault="00795242" w:rsidP="00795242">
      <w:pPr>
        <w:numPr>
          <w:ilvl w:val="0"/>
          <w:numId w:val="11"/>
        </w:numPr>
        <w:spacing w:line="280" w:lineRule="atLeast"/>
        <w:contextualSpacing/>
        <w:rPr>
          <w:rFonts w:ascii="Arial" w:eastAsia="Calibri" w:hAnsi="Arial" w:cs="Arial"/>
          <w:sz w:val="22"/>
          <w:szCs w:val="22"/>
          <w:lang w:val="en-AU"/>
        </w:rPr>
      </w:pPr>
      <w:r w:rsidRPr="00795242">
        <w:rPr>
          <w:rFonts w:ascii="Arial" w:eastAsia="Calibri" w:hAnsi="Arial" w:cs="Arial"/>
          <w:sz w:val="22"/>
          <w:szCs w:val="22"/>
          <w:lang w:val="en-AU"/>
        </w:rPr>
        <w:t>Moving Electronic Gaming Machines (EGMs or pokies) out of shopping precincts</w:t>
      </w:r>
    </w:p>
    <w:p w:rsidR="00795242" w:rsidRPr="00795242" w:rsidRDefault="00795242" w:rsidP="00795242">
      <w:pPr>
        <w:spacing w:line="280" w:lineRule="atLeast"/>
        <w:ind w:left="720"/>
        <w:contextualSpacing/>
        <w:rPr>
          <w:rFonts w:ascii="Arial" w:eastAsia="Calibri" w:hAnsi="Arial" w:cs="Arial"/>
          <w:sz w:val="22"/>
          <w:szCs w:val="22"/>
          <w:lang w:val="en-AU"/>
        </w:rPr>
      </w:pPr>
    </w:p>
    <w:p w:rsidR="00795242" w:rsidRPr="00795242" w:rsidRDefault="00795242" w:rsidP="00795242">
      <w:pPr>
        <w:numPr>
          <w:ilvl w:val="0"/>
          <w:numId w:val="11"/>
        </w:numPr>
        <w:spacing w:line="280" w:lineRule="atLeast"/>
        <w:contextualSpacing/>
        <w:rPr>
          <w:rFonts w:ascii="Arial" w:eastAsia="Calibri" w:hAnsi="Arial" w:cs="Arial"/>
          <w:sz w:val="22"/>
          <w:szCs w:val="22"/>
          <w:lang w:val="en-AU"/>
        </w:rPr>
      </w:pPr>
      <w:r w:rsidRPr="00795242">
        <w:rPr>
          <w:rFonts w:ascii="Arial" w:eastAsia="Calibri" w:hAnsi="Arial" w:cs="Arial"/>
          <w:sz w:val="22"/>
          <w:szCs w:val="22"/>
          <w:lang w:val="en-AU"/>
        </w:rPr>
        <w:t>Reducing the maximum allowable bet on EGMs to $1 per spin with maximum $120 losses per hour</w:t>
      </w:r>
    </w:p>
    <w:p w:rsidR="00795242" w:rsidRPr="00795242" w:rsidRDefault="00795242" w:rsidP="00795242">
      <w:pPr>
        <w:spacing w:line="280" w:lineRule="atLeast"/>
        <w:ind w:left="720"/>
        <w:contextualSpacing/>
        <w:rPr>
          <w:rFonts w:ascii="Arial" w:eastAsia="Calibri" w:hAnsi="Arial" w:cs="Arial"/>
          <w:sz w:val="22"/>
          <w:szCs w:val="22"/>
          <w:lang w:val="en-AU"/>
        </w:rPr>
      </w:pPr>
    </w:p>
    <w:p w:rsidR="00795242" w:rsidRPr="00795242" w:rsidRDefault="00795242" w:rsidP="00795242">
      <w:pPr>
        <w:numPr>
          <w:ilvl w:val="0"/>
          <w:numId w:val="11"/>
        </w:numPr>
        <w:spacing w:line="280" w:lineRule="atLeast"/>
        <w:contextualSpacing/>
        <w:rPr>
          <w:rFonts w:ascii="Arial" w:eastAsia="Calibri" w:hAnsi="Arial" w:cs="Arial"/>
          <w:sz w:val="22"/>
          <w:szCs w:val="22"/>
          <w:lang w:val="en-AU"/>
        </w:rPr>
      </w:pPr>
      <w:r w:rsidRPr="00795242">
        <w:rPr>
          <w:rFonts w:ascii="Arial" w:eastAsia="Calibri" w:hAnsi="Arial" w:cs="Arial"/>
          <w:sz w:val="22"/>
          <w:szCs w:val="22"/>
          <w:lang w:val="en-AU"/>
        </w:rPr>
        <w:t>Preventing EGM licenses from being introduced into growth areas such as Epping North, South Morang, Mernda and Doreen.</w:t>
      </w:r>
    </w:p>
    <w:p w:rsid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What is happening now?</w:t>
      </w: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Whittlesea Community Futures (WCF) has prioritised financial hardship as a major problem for the people of the City of Whittlesea, with research showing that problem gambling is a significant drain on local wealth.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b/>
          <w:sz w:val="22"/>
          <w:szCs w:val="22"/>
          <w:lang w:val="en-AU"/>
        </w:rPr>
        <w:t>Emergency food relief</w:t>
      </w:r>
      <w:r w:rsidRPr="00795242">
        <w:rPr>
          <w:rFonts w:ascii="Arial" w:eastAsia="Calibri" w:hAnsi="Arial" w:cs="Arial"/>
          <w:sz w:val="22"/>
          <w:szCs w:val="22"/>
          <w:lang w:val="en-AU"/>
        </w:rPr>
        <w:t xml:space="preserve"> services that provide charity food vouchers are reporting a very high demand in requests for support.  Many people are sleeping rough outside community services to queue up for food vouchers.  Whittlesea Community Connections and Salvation Army Crossroads have both documented this increase in demand with other services that are also reporting the same phenomenon.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T</w:t>
      </w:r>
      <w:r w:rsidRPr="00795242">
        <w:rPr>
          <w:rFonts w:ascii="Arial" w:eastAsia="Times New Roman" w:hAnsi="Arial" w:cs="Arial"/>
          <w:sz w:val="22"/>
          <w:szCs w:val="22"/>
          <w:lang w:val="en-AU"/>
        </w:rPr>
        <w:t xml:space="preserve">he City of Whittlesea is experiencing </w:t>
      </w:r>
      <w:r w:rsidRPr="00795242">
        <w:rPr>
          <w:rFonts w:ascii="Arial" w:eastAsia="Times New Roman" w:hAnsi="Arial" w:cs="Arial"/>
          <w:b/>
          <w:sz w:val="22"/>
          <w:szCs w:val="22"/>
          <w:lang w:val="en-AU"/>
        </w:rPr>
        <w:t>higher than average mortgage and rental stress</w:t>
      </w:r>
      <w:r w:rsidRPr="00795242">
        <w:rPr>
          <w:rFonts w:ascii="Arial" w:eastAsia="Times New Roman" w:hAnsi="Arial" w:cs="Arial"/>
          <w:sz w:val="22"/>
          <w:szCs w:val="22"/>
          <w:lang w:val="en-AU"/>
        </w:rPr>
        <w:t xml:space="preserve"> with Lalor and Thomastown households in particular spending 39% of income on their mortgage compared to 31% in Metropolitan Melbourne</w:t>
      </w:r>
      <w:r w:rsidRPr="00795242">
        <w:rPr>
          <w:rFonts w:ascii="Arial" w:eastAsia="Times New Roman" w:hAnsi="Arial" w:cs="Arial"/>
          <w:sz w:val="22"/>
          <w:szCs w:val="22"/>
          <w:vertAlign w:val="superscript"/>
          <w:lang w:val="en-AU"/>
        </w:rPr>
        <w:endnoteReference w:id="1"/>
      </w:r>
      <w:r w:rsidRPr="00795242">
        <w:rPr>
          <w:rFonts w:ascii="Arial" w:eastAsia="Times New Roman" w:hAnsi="Arial" w:cs="Arial"/>
          <w:sz w:val="22"/>
          <w:szCs w:val="22"/>
          <w:lang w:val="en-AU"/>
        </w:rPr>
        <w:t xml:space="preserve">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98369C"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EGMs are a very significant drain on wealth in the City of Whittlesea. Losses are much higher than the State average despite having fewer machines per person (Appendix 1). </w:t>
      </w:r>
      <w:proofErr w:type="gramStart"/>
      <w:r w:rsidRPr="00795242">
        <w:rPr>
          <w:rFonts w:ascii="Arial" w:eastAsia="Calibri" w:hAnsi="Arial" w:cs="Arial"/>
          <w:sz w:val="22"/>
          <w:szCs w:val="22"/>
          <w:lang w:val="en-AU"/>
        </w:rPr>
        <w:t>This low density average is no justification for the State Government to continue to approve more EGMs in the municipality.</w:t>
      </w:r>
      <w:proofErr w:type="gramEnd"/>
      <w:r>
        <w:rPr>
          <w:rFonts w:ascii="Arial" w:eastAsia="Calibri" w:hAnsi="Arial" w:cs="Arial"/>
          <w:sz w:val="22"/>
          <w:szCs w:val="22"/>
          <w:lang w:val="en-AU"/>
        </w:rPr>
        <w:t xml:space="preserve"> </w:t>
      </w:r>
      <w:r w:rsidRPr="00795242">
        <w:rPr>
          <w:rFonts w:ascii="Arial" w:eastAsia="Calibri" w:hAnsi="Arial" w:cs="Arial"/>
          <w:sz w:val="22"/>
          <w:szCs w:val="22"/>
          <w:lang w:val="en-AU"/>
        </w:rPr>
        <w:t>Despite the lower number of EGMs per adult, the net expenditure per adult of $798 places the City of Whittlesea 7</w:t>
      </w:r>
      <w:r w:rsidRPr="00795242">
        <w:rPr>
          <w:rFonts w:ascii="Arial" w:eastAsia="Calibri" w:hAnsi="Arial" w:cs="Arial"/>
          <w:sz w:val="22"/>
          <w:szCs w:val="22"/>
          <w:vertAlign w:val="superscript"/>
          <w:lang w:val="en-AU"/>
        </w:rPr>
        <w:t>th</w:t>
      </w:r>
      <w:r w:rsidRPr="00795242">
        <w:rPr>
          <w:rFonts w:ascii="Arial" w:eastAsia="Calibri" w:hAnsi="Arial" w:cs="Arial"/>
          <w:sz w:val="22"/>
          <w:szCs w:val="22"/>
          <w:lang w:val="en-AU"/>
        </w:rPr>
        <w:t xml:space="preserve"> in EGM expenditure in Victoria.</w:t>
      </w:r>
      <w:r w:rsidRPr="00795242">
        <w:rPr>
          <w:rFonts w:ascii="Arial" w:eastAsia="Calibri" w:hAnsi="Arial" w:cs="Arial"/>
          <w:sz w:val="22"/>
          <w:szCs w:val="22"/>
          <w:vertAlign w:val="superscript"/>
          <w:lang w:val="en-AU"/>
        </w:rPr>
        <w:endnoteReference w:id="2"/>
      </w:r>
      <w:r w:rsidRPr="00795242">
        <w:rPr>
          <w:rFonts w:ascii="Arial" w:eastAsia="Calibri" w:hAnsi="Arial" w:cs="Arial"/>
          <w:sz w:val="22"/>
          <w:szCs w:val="22"/>
          <w:lang w:val="en-AU"/>
        </w:rPr>
        <w:t xml:space="preserve"> </w:t>
      </w:r>
    </w:p>
    <w:p w:rsidR="0098369C" w:rsidRDefault="0098369C" w:rsidP="00795242">
      <w:pPr>
        <w:spacing w:line="280" w:lineRule="atLeast"/>
        <w:contextualSpacing/>
        <w:jc w:val="both"/>
        <w:rPr>
          <w:rFonts w:ascii="Arial" w:eastAsia="Calibri" w:hAnsi="Arial" w:cs="Arial"/>
          <w:sz w:val="22"/>
          <w:szCs w:val="22"/>
          <w:lang w:val="en-AU"/>
        </w:rPr>
      </w:pPr>
    </w:p>
    <w:p w:rsidR="00795242" w:rsidRPr="00795242" w:rsidRDefault="0098369C" w:rsidP="00795242">
      <w:pPr>
        <w:spacing w:line="280" w:lineRule="atLeast"/>
        <w:contextualSpacing/>
        <w:jc w:val="both"/>
        <w:rPr>
          <w:rFonts w:ascii="Arial" w:eastAsia="Calibri" w:hAnsi="Arial" w:cs="Arial"/>
          <w:sz w:val="22"/>
          <w:szCs w:val="22"/>
          <w:lang w:val="en-AU"/>
        </w:rPr>
      </w:pPr>
      <w:r>
        <w:rPr>
          <w:rFonts w:ascii="Arial" w:eastAsia="Calibri" w:hAnsi="Arial" w:cs="Arial"/>
          <w:sz w:val="22"/>
          <w:szCs w:val="22"/>
          <w:lang w:val="en-AU"/>
        </w:rPr>
        <w:t>There are o</w:t>
      </w:r>
      <w:r w:rsidR="00795242" w:rsidRPr="00795242">
        <w:rPr>
          <w:rFonts w:ascii="Arial" w:eastAsia="Calibri" w:hAnsi="Arial" w:cs="Arial"/>
          <w:sz w:val="22"/>
          <w:szCs w:val="22"/>
          <w:lang w:val="en-AU"/>
        </w:rPr>
        <w:t>ther problems associated with problem gambling</w:t>
      </w:r>
      <w:r>
        <w:rPr>
          <w:rFonts w:ascii="Arial" w:eastAsia="Calibri" w:hAnsi="Arial" w:cs="Arial"/>
          <w:sz w:val="22"/>
          <w:szCs w:val="22"/>
          <w:lang w:val="en-AU"/>
        </w:rPr>
        <w:t xml:space="preserve"> as well. </w:t>
      </w:r>
      <w:r w:rsidR="00795242" w:rsidRPr="00795242">
        <w:rPr>
          <w:rFonts w:ascii="Arial" w:eastAsia="Calibri" w:hAnsi="Arial" w:cs="Arial"/>
          <w:sz w:val="22"/>
          <w:szCs w:val="22"/>
          <w:lang w:val="en-AU"/>
        </w:rPr>
        <w:t xml:space="preserve">The City of Whittlesea is experiencing a rapid increase in reports of </w:t>
      </w:r>
      <w:r w:rsidR="00795242" w:rsidRPr="00795242">
        <w:rPr>
          <w:rFonts w:ascii="Arial" w:eastAsia="Calibri" w:hAnsi="Arial" w:cs="Arial"/>
          <w:b/>
          <w:sz w:val="22"/>
          <w:szCs w:val="22"/>
          <w:lang w:val="en-AU"/>
        </w:rPr>
        <w:t>Family Violence</w:t>
      </w:r>
      <w:r w:rsidR="00795242" w:rsidRPr="00795242">
        <w:rPr>
          <w:rFonts w:ascii="Arial" w:eastAsia="Calibri" w:hAnsi="Arial" w:cs="Arial"/>
          <w:sz w:val="22"/>
          <w:szCs w:val="22"/>
          <w:lang w:val="en-AU"/>
        </w:rPr>
        <w:t xml:space="preserve">. The rate of family violence in the City of Whittlesea is at a critical new high at 1249 incidents per 100,000 people, compared to 1071 for Victoria. Recent research demonstrates gambling and gambling losses in particular as a contributing factor. </w:t>
      </w:r>
      <w:r w:rsidR="00795242" w:rsidRPr="00795242">
        <w:rPr>
          <w:rFonts w:ascii="Arial" w:eastAsia="Calibri" w:hAnsi="Arial" w:cs="Arial"/>
          <w:sz w:val="22"/>
          <w:szCs w:val="22"/>
          <w:vertAlign w:val="superscript"/>
          <w:lang w:val="en-AU"/>
        </w:rPr>
        <w:endnoteReference w:id="3"/>
      </w:r>
      <w:r w:rsidR="00795242" w:rsidRPr="00795242">
        <w:rPr>
          <w:rFonts w:ascii="Arial" w:eastAsia="Calibri" w:hAnsi="Arial" w:cs="Arial"/>
          <w:sz w:val="22"/>
          <w:szCs w:val="22"/>
          <w:lang w:val="en-AU"/>
        </w:rPr>
        <w:t xml:space="preserve">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E40C2C" w:rsidRDefault="00E40C2C"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How can we build a better future?</w:t>
      </w: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numPr>
          <w:ilvl w:val="0"/>
          <w:numId w:val="13"/>
        </w:numPr>
        <w:spacing w:line="280" w:lineRule="atLeast"/>
        <w:contextualSpacing/>
        <w:jc w:val="both"/>
        <w:rPr>
          <w:rFonts w:ascii="Arial" w:eastAsia="Times New Roman" w:hAnsi="Arial" w:cs="Arial"/>
          <w:color w:val="000000"/>
          <w:sz w:val="22"/>
          <w:szCs w:val="22"/>
          <w:lang w:eastAsia="en-AU"/>
        </w:rPr>
      </w:pPr>
      <w:r w:rsidRPr="00795242">
        <w:rPr>
          <w:rFonts w:ascii="Arial" w:eastAsia="Times New Roman" w:hAnsi="Arial" w:cs="Arial"/>
          <w:b/>
          <w:color w:val="000000"/>
          <w:sz w:val="22"/>
          <w:szCs w:val="22"/>
          <w:lang w:val="en-AU" w:eastAsia="en-AU"/>
        </w:rPr>
        <w:t xml:space="preserve">WCF requests that the </w:t>
      </w:r>
      <w:r w:rsidRPr="00795242">
        <w:rPr>
          <w:rFonts w:ascii="Arial" w:eastAsia="Times New Roman" w:hAnsi="Arial" w:cs="Arial"/>
          <w:b/>
          <w:color w:val="000000"/>
          <w:sz w:val="22"/>
          <w:szCs w:val="22"/>
          <w:lang w:eastAsia="en-AU"/>
        </w:rPr>
        <w:t xml:space="preserve">State Government develop a plan to relocate EGM licenses currently located in shopping precincts to areas with lower profile and less accessibility. </w:t>
      </w:r>
      <w:r w:rsidRPr="00795242">
        <w:rPr>
          <w:rFonts w:ascii="Arial" w:eastAsia="Times New Roman" w:hAnsi="Arial" w:cs="Arial"/>
          <w:color w:val="000000"/>
          <w:sz w:val="22"/>
          <w:szCs w:val="22"/>
          <w:lang w:val="en-AU" w:eastAsia="en-AU"/>
        </w:rPr>
        <w:t>WCF endorses the recommendations of the Whittlesea Interagency Taskforce on Gambling (WITOG) and the Productivity Commission Recommendations (VCEC). WITOG has identified that the accessibility of EGMs in shopping precincts is a major issue for vulnerable people.</w:t>
      </w:r>
      <w:r w:rsidRPr="00795242">
        <w:rPr>
          <w:rFonts w:ascii="Arial" w:eastAsia="Times New Roman" w:hAnsi="Arial" w:cs="Arial"/>
          <w:color w:val="000000"/>
          <w:sz w:val="22"/>
          <w:szCs w:val="22"/>
          <w:lang w:eastAsia="en-AU"/>
        </w:rPr>
        <w:t xml:space="preserve">  The three highest loss venues in the City of Whittlesea are all located in shopping precincts: Epping Plaza Hotel, Plough Hotel, and Bundoora Taverner (Appendix 2). These venues are also in the top five venues in the state for EGM net expenditure (Appendix 3). New evidence suggests that larger venues are also more harmful for gambling related issues.</w:t>
      </w:r>
      <w:r w:rsidRPr="00795242">
        <w:rPr>
          <w:rFonts w:ascii="Arial" w:eastAsia="Times New Roman" w:hAnsi="Arial" w:cs="Arial"/>
          <w:color w:val="000000"/>
          <w:sz w:val="22"/>
          <w:szCs w:val="22"/>
          <w:vertAlign w:val="superscript"/>
          <w:lang w:eastAsia="en-AU"/>
        </w:rPr>
        <w:endnoteReference w:id="4"/>
      </w:r>
      <w:r w:rsidRPr="00795242">
        <w:rPr>
          <w:rFonts w:ascii="Arial" w:eastAsia="Times New Roman" w:hAnsi="Arial" w:cs="Arial"/>
          <w:color w:val="000000"/>
          <w:sz w:val="22"/>
          <w:szCs w:val="22"/>
          <w:lang w:eastAsia="en-AU"/>
        </w:rPr>
        <w:t xml:space="preserve"> </w:t>
      </w:r>
    </w:p>
    <w:p w:rsidR="00795242" w:rsidRPr="00795242" w:rsidRDefault="00795242" w:rsidP="00795242">
      <w:pPr>
        <w:spacing w:line="280" w:lineRule="atLeast"/>
        <w:ind w:left="720"/>
        <w:contextualSpacing/>
        <w:jc w:val="both"/>
        <w:rPr>
          <w:rFonts w:ascii="Arial" w:eastAsia="Times New Roman" w:hAnsi="Arial" w:cs="Arial"/>
          <w:color w:val="000000"/>
          <w:sz w:val="22"/>
          <w:szCs w:val="22"/>
          <w:lang w:eastAsia="en-AU"/>
        </w:rPr>
      </w:pPr>
    </w:p>
    <w:p w:rsidR="00795242" w:rsidRPr="00795242" w:rsidRDefault="00795242" w:rsidP="00795242">
      <w:pPr>
        <w:numPr>
          <w:ilvl w:val="0"/>
          <w:numId w:val="13"/>
        </w:numPr>
        <w:spacing w:line="280" w:lineRule="atLeast"/>
        <w:contextualSpacing/>
        <w:jc w:val="both"/>
        <w:rPr>
          <w:rFonts w:ascii="Arial" w:eastAsia="Times New Roman" w:hAnsi="Arial" w:cs="Arial"/>
          <w:bCs/>
          <w:sz w:val="22"/>
          <w:szCs w:val="22"/>
          <w:lang w:val="en-AU" w:eastAsia="en-AU"/>
        </w:rPr>
      </w:pPr>
      <w:r w:rsidRPr="00795242">
        <w:rPr>
          <w:rFonts w:ascii="Arial" w:eastAsia="Times New Roman" w:hAnsi="Arial" w:cs="Arial"/>
          <w:bCs/>
          <w:sz w:val="22"/>
          <w:szCs w:val="22"/>
          <w:lang w:val="en-AU" w:eastAsia="en-AU"/>
        </w:rPr>
        <w:t xml:space="preserve">WCF supports WITOG’s proposal to </w:t>
      </w:r>
      <w:r w:rsidRPr="00795242">
        <w:rPr>
          <w:rFonts w:ascii="Arial" w:eastAsia="Times New Roman" w:hAnsi="Arial" w:cs="Arial"/>
          <w:b/>
          <w:bCs/>
          <w:sz w:val="22"/>
          <w:szCs w:val="22"/>
          <w:lang w:val="en-AU" w:eastAsia="en-AU"/>
        </w:rPr>
        <w:t>reduce the maximum allowable bet on poker machines to $1 per spin with maximum $120 losses per hour</w:t>
      </w:r>
      <w:r w:rsidRPr="00795242">
        <w:rPr>
          <w:rFonts w:ascii="Arial" w:eastAsia="Times New Roman" w:hAnsi="Arial" w:cs="Arial"/>
          <w:bCs/>
          <w:sz w:val="22"/>
          <w:szCs w:val="22"/>
          <w:lang w:val="en-AU" w:eastAsia="en-AU"/>
        </w:rPr>
        <w:t>. WCF believes that this measure would significantly reduce the impact that poker machines are having in our community whilst impacting very minimally on recreational gamblers.</w:t>
      </w:r>
    </w:p>
    <w:p w:rsidR="00795242" w:rsidRPr="00795242" w:rsidRDefault="00795242" w:rsidP="00795242">
      <w:pPr>
        <w:spacing w:line="280" w:lineRule="atLeast"/>
        <w:ind w:left="720"/>
        <w:contextualSpacing/>
        <w:jc w:val="both"/>
        <w:rPr>
          <w:rFonts w:ascii="Arial" w:eastAsia="Times New Roman" w:hAnsi="Arial" w:cs="Arial"/>
          <w:bCs/>
          <w:sz w:val="22"/>
          <w:szCs w:val="22"/>
          <w:lang w:val="en-AU" w:eastAsia="en-AU"/>
        </w:rPr>
      </w:pPr>
    </w:p>
    <w:p w:rsidR="00795242" w:rsidRPr="00795242" w:rsidRDefault="00795242" w:rsidP="00795242">
      <w:pPr>
        <w:numPr>
          <w:ilvl w:val="0"/>
          <w:numId w:val="13"/>
        </w:numPr>
        <w:spacing w:line="280" w:lineRule="atLeast"/>
        <w:contextualSpacing/>
        <w:jc w:val="both"/>
        <w:rPr>
          <w:rFonts w:ascii="Arial" w:eastAsia="Times New Roman" w:hAnsi="Arial" w:cs="Arial"/>
          <w:bCs/>
          <w:sz w:val="22"/>
          <w:szCs w:val="22"/>
          <w:lang w:val="en-AU" w:eastAsia="en-AU"/>
        </w:rPr>
      </w:pPr>
      <w:r w:rsidRPr="00795242">
        <w:rPr>
          <w:rFonts w:ascii="Arial" w:eastAsia="Times New Roman" w:hAnsi="Arial" w:cs="Arial"/>
          <w:b/>
          <w:bCs/>
          <w:sz w:val="22"/>
          <w:szCs w:val="22"/>
          <w:lang w:val="en-AU" w:eastAsia="en-AU"/>
        </w:rPr>
        <w:t>The future number of EGMs around the growth areas needs to be legislatively cappe</w:t>
      </w:r>
      <w:r w:rsidRPr="00795242">
        <w:rPr>
          <w:rFonts w:ascii="Arial" w:eastAsia="Times New Roman" w:hAnsi="Arial" w:cs="Arial"/>
          <w:bCs/>
          <w:sz w:val="22"/>
          <w:szCs w:val="22"/>
          <w:lang w:val="en-AU" w:eastAsia="en-AU"/>
        </w:rPr>
        <w:t xml:space="preserve">d alongside the regional capped areas to prevent the EGM licenses being introduced into new suburbs such as Epping North, South Morang, Mernda and Doreen. </w:t>
      </w:r>
    </w:p>
    <w:p w:rsidR="00795242" w:rsidRPr="00795242" w:rsidRDefault="00795242" w:rsidP="00795242">
      <w:pPr>
        <w:spacing w:line="280" w:lineRule="atLeast"/>
        <w:ind w:left="720"/>
        <w:contextualSpacing/>
        <w:jc w:val="both"/>
        <w:rPr>
          <w:rFonts w:ascii="Arial" w:eastAsia="Times New Roman" w:hAnsi="Arial" w:cs="Arial"/>
          <w:bCs/>
          <w:sz w:val="22"/>
          <w:szCs w:val="22"/>
          <w:lang w:val="en-AU" w:eastAsia="en-AU"/>
        </w:rPr>
      </w:pPr>
    </w:p>
    <w:p w:rsidR="00795242" w:rsidRPr="00795242" w:rsidRDefault="00795242" w:rsidP="00795242">
      <w:pPr>
        <w:spacing w:line="280" w:lineRule="atLeast"/>
        <w:ind w:left="720"/>
        <w:contextualSpacing/>
        <w:jc w:val="both"/>
        <w:rPr>
          <w:rFonts w:ascii="Arial" w:eastAsia="Times New Roman" w:hAnsi="Arial" w:cs="Arial"/>
          <w:bCs/>
          <w:sz w:val="22"/>
          <w:szCs w:val="22"/>
          <w:lang w:val="en-AU" w:eastAsia="en-AU"/>
        </w:rPr>
      </w:pPr>
      <w:r w:rsidRPr="00795242">
        <w:rPr>
          <w:rFonts w:ascii="Arial" w:eastAsia="Times New Roman" w:hAnsi="Arial" w:cs="Arial"/>
          <w:bCs/>
          <w:sz w:val="22"/>
          <w:szCs w:val="22"/>
          <w:lang w:val="en-AU" w:eastAsia="en-AU"/>
        </w:rPr>
        <w:t>The City of Whittlesea is one of the major growth corridors of Melbourne with substantial development. This rapidity of growth and change is occurring in the northern part of the municipality. This is of importance as there is serious concern that this means a direct net increase in the number of EGMs in the municipality</w:t>
      </w:r>
    </w:p>
    <w:p w:rsidR="00795242" w:rsidRPr="00795242" w:rsidRDefault="00795242" w:rsidP="00795242">
      <w:pPr>
        <w:spacing w:line="280" w:lineRule="atLeast"/>
        <w:contextualSpacing/>
        <w:jc w:val="both"/>
        <w:rPr>
          <w:rFonts w:ascii="Arial" w:eastAsia="Calibri" w:hAnsi="Arial" w:cs="Arial"/>
          <w:b/>
          <w:sz w:val="22"/>
          <w:szCs w:val="22"/>
          <w:lang w:val="en-AU"/>
        </w:rPr>
      </w:pPr>
    </w:p>
    <w:p w:rsidR="00795242" w:rsidRPr="00795242" w:rsidRDefault="00795242" w:rsidP="00795242">
      <w:pPr>
        <w:spacing w:line="280" w:lineRule="atLeast"/>
        <w:contextualSpacing/>
        <w:jc w:val="both"/>
        <w:rPr>
          <w:rFonts w:ascii="Arial" w:eastAsia="Calibri" w:hAnsi="Arial" w:cs="Arial"/>
          <w:b/>
          <w:sz w:val="22"/>
          <w:szCs w:val="22"/>
          <w:lang w:val="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How much will it cost?</w:t>
      </w:r>
    </w:p>
    <w:p w:rsidR="00795242" w:rsidRPr="00795242" w:rsidRDefault="00795242" w:rsidP="00795242">
      <w:pPr>
        <w:spacing w:line="280" w:lineRule="atLeast"/>
        <w:contextualSpacing/>
        <w:jc w:val="both"/>
        <w:rPr>
          <w:rFonts w:ascii="Arial" w:eastAsia="Calibri" w:hAnsi="Arial" w:cs="Arial"/>
          <w:bCs/>
          <w:sz w:val="22"/>
          <w:szCs w:val="22"/>
          <w:lang w:val="en-AU"/>
        </w:rPr>
      </w:pPr>
    </w:p>
    <w:p w:rsidR="00795242" w:rsidRPr="00795242"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bCs/>
          <w:sz w:val="22"/>
          <w:szCs w:val="22"/>
          <w:lang w:val="en-AU"/>
        </w:rPr>
        <w:t>New research demonstrates</w:t>
      </w:r>
      <w:r w:rsidRPr="00795242">
        <w:rPr>
          <w:rFonts w:ascii="Arial" w:eastAsia="Calibri" w:hAnsi="Arial" w:cs="Arial"/>
          <w:sz w:val="22"/>
          <w:szCs w:val="22"/>
          <w:lang w:val="en-AU"/>
        </w:rPr>
        <w:t xml:space="preserve"> that reducing problem gambling can save an enormous amount of money for the Government.  The </w:t>
      </w:r>
      <w:r w:rsidRPr="00795242">
        <w:rPr>
          <w:rFonts w:ascii="Arial" w:eastAsia="Calibri" w:hAnsi="Arial" w:cs="Arial"/>
          <w:bCs/>
          <w:sz w:val="22"/>
          <w:szCs w:val="22"/>
          <w:lang w:val="en-AU"/>
        </w:rPr>
        <w:t>Victorian Competition and Efficiency</w:t>
      </w:r>
      <w:r w:rsidRPr="00795242">
        <w:rPr>
          <w:rFonts w:ascii="Arial" w:eastAsia="Calibri" w:hAnsi="Arial" w:cs="Arial"/>
          <w:sz w:val="22"/>
          <w:szCs w:val="22"/>
          <w:lang w:val="en-AU"/>
        </w:rPr>
        <w:t xml:space="preserve"> </w:t>
      </w:r>
      <w:r w:rsidRPr="00795242">
        <w:rPr>
          <w:rFonts w:ascii="Arial" w:eastAsia="Calibri" w:hAnsi="Arial" w:cs="Arial"/>
          <w:bCs/>
          <w:sz w:val="22"/>
          <w:szCs w:val="22"/>
          <w:lang w:val="en-AU"/>
        </w:rPr>
        <w:t xml:space="preserve">Commission </w:t>
      </w:r>
      <w:r w:rsidRPr="00795242">
        <w:rPr>
          <w:rFonts w:ascii="Arial" w:eastAsia="Calibri" w:hAnsi="Arial" w:cs="Arial"/>
          <w:sz w:val="22"/>
          <w:szCs w:val="22"/>
          <w:lang w:val="en-AU"/>
        </w:rPr>
        <w:t xml:space="preserve">(VCEC) Inquiry into problem gambling estimates that the total economic cost of problem gambling in the community was between </w:t>
      </w:r>
      <w:r w:rsidRPr="00795242">
        <w:rPr>
          <w:rFonts w:ascii="Arial" w:eastAsia="Calibri" w:hAnsi="Arial" w:cs="Arial"/>
          <w:b/>
          <w:bCs/>
          <w:sz w:val="22"/>
          <w:szCs w:val="22"/>
          <w:lang w:val="en-AU"/>
        </w:rPr>
        <w:t>$1.5 and $2.7 billion in 2010-11.</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Most of the quantifiable costs come from two sources: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460237" w:rsidRDefault="00795242" w:rsidP="00795242">
      <w:pPr>
        <w:numPr>
          <w:ilvl w:val="1"/>
          <w:numId w:val="10"/>
        </w:num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Costs associated with financial losses to problem gamblers - </w:t>
      </w:r>
      <w:r w:rsidRPr="00795242">
        <w:rPr>
          <w:rFonts w:ascii="Arial" w:eastAsia="Calibri" w:hAnsi="Arial" w:cs="Arial"/>
          <w:b/>
          <w:bCs/>
          <w:sz w:val="22"/>
          <w:szCs w:val="22"/>
          <w:lang w:val="en-AU"/>
        </w:rPr>
        <w:t>$1 billion to $1.4 billion</w:t>
      </w:r>
    </w:p>
    <w:p w:rsidR="00460237" w:rsidRPr="00795242" w:rsidRDefault="00460237" w:rsidP="00460237">
      <w:pPr>
        <w:spacing w:line="280" w:lineRule="atLeast"/>
        <w:ind w:left="1440"/>
        <w:contextualSpacing/>
        <w:jc w:val="both"/>
        <w:rPr>
          <w:rFonts w:ascii="Arial" w:eastAsia="Calibri" w:hAnsi="Arial" w:cs="Arial"/>
          <w:sz w:val="22"/>
          <w:szCs w:val="22"/>
          <w:lang w:val="en-AU"/>
        </w:rPr>
      </w:pPr>
    </w:p>
    <w:p w:rsidR="00795242" w:rsidRPr="00795242" w:rsidRDefault="00795242" w:rsidP="00795242">
      <w:pPr>
        <w:numPr>
          <w:ilvl w:val="1"/>
          <w:numId w:val="10"/>
        </w:num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The intangible costs associated with impacts on mental wellbeing for problem gamblers and their families </w:t>
      </w:r>
      <w:r w:rsidRPr="00795242">
        <w:rPr>
          <w:rFonts w:ascii="Arial" w:eastAsia="Calibri" w:hAnsi="Arial" w:cs="Arial"/>
          <w:b/>
          <w:bCs/>
          <w:sz w:val="22"/>
          <w:szCs w:val="22"/>
          <w:lang w:val="en-AU"/>
        </w:rPr>
        <w:t>$400 million to $1.2 billion</w:t>
      </w:r>
    </w:p>
    <w:p w:rsidR="00795242" w:rsidRDefault="00795242"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460237" w:rsidRDefault="00460237" w:rsidP="00795242">
      <w:pPr>
        <w:spacing w:line="280" w:lineRule="atLeast"/>
        <w:contextualSpacing/>
        <w:jc w:val="both"/>
        <w:rPr>
          <w:rFonts w:ascii="Arial" w:eastAsia="Calibri" w:hAnsi="Arial" w:cs="Arial"/>
          <w:sz w:val="22"/>
          <w:szCs w:val="22"/>
        </w:rPr>
      </w:pPr>
    </w:p>
    <w:p w:rsidR="00795242" w:rsidRPr="00795242" w:rsidRDefault="00795242" w:rsidP="00795242">
      <w:pPr>
        <w:spacing w:line="280" w:lineRule="atLeast"/>
        <w:contextualSpacing/>
        <w:jc w:val="both"/>
        <w:rPr>
          <w:rFonts w:ascii="Arial" w:eastAsia="Calibri" w:hAnsi="Arial" w:cs="Arial"/>
          <w:sz w:val="22"/>
          <w:szCs w:val="22"/>
        </w:rPr>
      </w:pPr>
      <w:r w:rsidRPr="00795242">
        <w:rPr>
          <w:rFonts w:ascii="Arial" w:eastAsia="Calibri" w:hAnsi="Arial" w:cs="Arial"/>
          <w:sz w:val="22"/>
          <w:szCs w:val="22"/>
        </w:rPr>
        <w:t>These figures do not fully consider the cost to community groups and small businesses of reduced resources available for other spending in the local economy.</w:t>
      </w:r>
    </w:p>
    <w:p w:rsidR="00795242" w:rsidRDefault="00795242" w:rsidP="00795242">
      <w:pPr>
        <w:spacing w:line="280" w:lineRule="atLeast"/>
        <w:contextualSpacing/>
        <w:jc w:val="both"/>
        <w:rPr>
          <w:rFonts w:ascii="Arial" w:eastAsia="Calibri" w:hAnsi="Arial" w:cs="Arial"/>
          <w:sz w:val="22"/>
          <w:szCs w:val="22"/>
        </w:rPr>
      </w:pPr>
    </w:p>
    <w:p w:rsidR="00795242" w:rsidRPr="00795242" w:rsidRDefault="00795242" w:rsidP="00795242">
      <w:pPr>
        <w:spacing w:line="280" w:lineRule="atLeast"/>
        <w:contextualSpacing/>
        <w:jc w:val="both"/>
        <w:rPr>
          <w:rFonts w:ascii="Arial" w:eastAsia="Calibri" w:hAnsi="Arial" w:cs="Arial"/>
          <w:sz w:val="22"/>
          <w:szCs w:val="22"/>
        </w:rPr>
      </w:pPr>
      <w:r w:rsidRPr="00795242">
        <w:rPr>
          <w:rFonts w:ascii="Arial" w:eastAsia="Calibri" w:hAnsi="Arial" w:cs="Arial"/>
          <w:sz w:val="22"/>
          <w:szCs w:val="22"/>
        </w:rPr>
        <w:t>WCF acknowledges there is some cost to the State Government in reduced earnings from taxes, but believes that problem gambling, essentially a large tax on the poor and vulnerable, is not in the interests of the people of the City of Whittlesea.</w:t>
      </w:r>
      <w:r w:rsidRPr="00795242">
        <w:rPr>
          <w:rFonts w:ascii="Arial" w:eastAsia="Calibri" w:hAnsi="Arial" w:cs="Arial"/>
          <w:sz w:val="22"/>
          <w:szCs w:val="22"/>
          <w:vertAlign w:val="superscript"/>
        </w:rPr>
        <w:endnoteReference w:id="5"/>
      </w:r>
      <w:r w:rsidRPr="00795242">
        <w:rPr>
          <w:rFonts w:ascii="Arial" w:eastAsia="Calibri" w:hAnsi="Arial" w:cs="Arial"/>
          <w:sz w:val="22"/>
          <w:szCs w:val="22"/>
        </w:rPr>
        <w:t xml:space="preserve"> </w:t>
      </w:r>
    </w:p>
    <w:p w:rsidR="00795242" w:rsidRPr="00795242" w:rsidRDefault="00795242" w:rsidP="00795242">
      <w:pPr>
        <w:keepNext/>
        <w:spacing w:line="280" w:lineRule="atLeast"/>
        <w:contextualSpacing/>
        <w:outlineLvl w:val="0"/>
        <w:rPr>
          <w:rFonts w:ascii="Arial" w:eastAsia="Times New Roman" w:hAnsi="Arial" w:cs="Arial"/>
          <w:b/>
          <w:color w:val="072B61"/>
          <w:kern w:val="32"/>
          <w:sz w:val="22"/>
          <w:szCs w:val="22"/>
        </w:rPr>
      </w:pPr>
    </w:p>
    <w:p w:rsidR="0098369C" w:rsidRDefault="0098369C"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How does the community benefit?</w:t>
      </w: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Cs/>
          <w:sz w:val="22"/>
          <w:szCs w:val="22"/>
          <w:lang w:val="en-AU" w:eastAsia="en-AU"/>
        </w:rPr>
      </w:pPr>
      <w:r w:rsidRPr="00795242">
        <w:rPr>
          <w:rFonts w:ascii="Arial" w:eastAsia="Times New Roman" w:hAnsi="Arial" w:cs="Arial"/>
          <w:bCs/>
          <w:sz w:val="22"/>
          <w:szCs w:val="22"/>
          <w:lang w:val="en-AU" w:eastAsia="en-AU"/>
        </w:rPr>
        <w:t>WCF believes that the economic savings for the local community will be dramatic, along with increased wellbeing and productivity. Other social problems associated with problem gambling, including family violence, financial hardship, crime and the added burden on community services are expected to be reduced.</w:t>
      </w:r>
    </w:p>
    <w:p w:rsidR="00795242" w:rsidRPr="00795242" w:rsidRDefault="00795242" w:rsidP="00795242">
      <w:pPr>
        <w:keepNext/>
        <w:spacing w:line="280" w:lineRule="atLeast"/>
        <w:contextualSpacing/>
        <w:outlineLvl w:val="0"/>
        <w:rPr>
          <w:rFonts w:ascii="Arial" w:eastAsia="Times New Roman" w:hAnsi="Arial" w:cs="Arial"/>
          <w:b/>
          <w:color w:val="072B61"/>
          <w:kern w:val="32"/>
          <w:sz w:val="22"/>
          <w:szCs w:val="22"/>
        </w:rPr>
      </w:pPr>
    </w:p>
    <w:p w:rsidR="0098369C" w:rsidRDefault="0098369C"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What objectives does this help achieve?</w:t>
      </w:r>
    </w:p>
    <w:p w:rsidR="00795242" w:rsidRPr="00795242" w:rsidRDefault="00795242" w:rsidP="00795242">
      <w:pPr>
        <w:spacing w:line="280" w:lineRule="atLeast"/>
        <w:contextualSpacing/>
        <w:jc w:val="both"/>
        <w:rPr>
          <w:rFonts w:ascii="Arial" w:eastAsia="Times New Roman" w:hAnsi="Arial" w:cs="Arial"/>
          <w:b/>
          <w:bCs/>
          <w:sz w:val="22"/>
          <w:szCs w:val="22"/>
          <w:lang w:val="en-AU" w:eastAsia="en-AU"/>
        </w:rPr>
      </w:pPr>
    </w:p>
    <w:p w:rsidR="00795242" w:rsidRPr="00795242" w:rsidRDefault="00795242" w:rsidP="00795242">
      <w:pPr>
        <w:spacing w:line="280" w:lineRule="atLeast"/>
        <w:contextualSpacing/>
        <w:jc w:val="both"/>
        <w:rPr>
          <w:rFonts w:ascii="Arial" w:eastAsia="Times New Roman" w:hAnsi="Arial" w:cs="Arial"/>
          <w:b/>
          <w:bCs/>
          <w:sz w:val="22"/>
          <w:szCs w:val="22"/>
          <w:lang w:val="en-AU" w:eastAsia="en-AU"/>
        </w:rPr>
      </w:pPr>
      <w:r w:rsidRPr="00795242">
        <w:rPr>
          <w:rFonts w:ascii="Arial" w:eastAsia="Times New Roman" w:hAnsi="Arial" w:cs="Arial"/>
          <w:b/>
          <w:bCs/>
          <w:sz w:val="22"/>
          <w:szCs w:val="22"/>
          <w:lang w:val="en-AU" w:eastAsia="en-AU"/>
        </w:rPr>
        <w:t>State Government</w:t>
      </w:r>
    </w:p>
    <w:p w:rsidR="00795242" w:rsidRPr="00795242" w:rsidRDefault="00795242" w:rsidP="00795242">
      <w:pPr>
        <w:spacing w:line="280" w:lineRule="atLeast"/>
        <w:contextualSpacing/>
        <w:jc w:val="both"/>
        <w:rPr>
          <w:rFonts w:ascii="Arial" w:eastAsia="Times New Roman" w:hAnsi="Arial" w:cs="Arial"/>
          <w:b/>
          <w:bCs/>
          <w:sz w:val="22"/>
          <w:szCs w:val="22"/>
          <w:lang w:val="en-AU" w:eastAsia="en-AU"/>
        </w:rPr>
      </w:pPr>
    </w:p>
    <w:p w:rsidR="00795242" w:rsidRPr="00795242" w:rsidRDefault="00795242" w:rsidP="00795242">
      <w:pPr>
        <w:numPr>
          <w:ilvl w:val="0"/>
          <w:numId w:val="14"/>
        </w:numPr>
        <w:spacing w:line="280" w:lineRule="atLeast"/>
        <w:contextualSpacing/>
        <w:jc w:val="both"/>
        <w:rPr>
          <w:rFonts w:ascii="Arial" w:eastAsia="Times New Roman" w:hAnsi="Arial" w:cs="Arial"/>
          <w:b/>
          <w:bCs/>
          <w:sz w:val="22"/>
          <w:szCs w:val="22"/>
          <w:lang w:val="en-AU" w:eastAsia="en-AU"/>
        </w:rPr>
      </w:pPr>
      <w:r w:rsidRPr="00795242">
        <w:rPr>
          <w:rFonts w:ascii="Arial" w:eastAsia="Times New Roman" w:hAnsi="Arial" w:cs="Arial"/>
          <w:bCs/>
          <w:sz w:val="22"/>
          <w:szCs w:val="22"/>
          <w:lang w:val="en-AU" w:eastAsia="en-AU"/>
        </w:rPr>
        <w:t xml:space="preserve">The State Government’s Public Health and Wellbeing Plan 2011-2015 priority: </w:t>
      </w:r>
      <w:r w:rsidRPr="00795242">
        <w:rPr>
          <w:rFonts w:ascii="Arial" w:eastAsia="Times New Roman" w:hAnsi="Arial" w:cs="Arial"/>
          <w:bCs/>
          <w:i/>
          <w:sz w:val="22"/>
          <w:szCs w:val="22"/>
          <w:lang w:val="en-AU" w:eastAsia="en-AU"/>
        </w:rPr>
        <w:t>Promoting Mental Health in local communities and environments</w:t>
      </w:r>
      <w:r w:rsidRPr="00795242">
        <w:rPr>
          <w:rFonts w:ascii="Arial" w:eastAsia="Times New Roman" w:hAnsi="Arial" w:cs="Arial"/>
          <w:b/>
          <w:bCs/>
          <w:i/>
          <w:sz w:val="22"/>
          <w:szCs w:val="22"/>
          <w:lang w:val="en-AU" w:eastAsia="en-AU"/>
        </w:rPr>
        <w:t xml:space="preserve"> </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numPr>
          <w:ilvl w:val="0"/>
          <w:numId w:val="14"/>
        </w:numPr>
        <w:spacing w:line="280" w:lineRule="atLeast"/>
        <w:contextualSpacing/>
        <w:jc w:val="both"/>
        <w:rPr>
          <w:rFonts w:ascii="Arial" w:eastAsia="Calibri" w:hAnsi="Arial" w:cs="Arial"/>
          <w:i/>
          <w:sz w:val="22"/>
          <w:szCs w:val="22"/>
          <w:lang w:val="en-AU"/>
        </w:rPr>
      </w:pPr>
      <w:r w:rsidRPr="00795242">
        <w:rPr>
          <w:rFonts w:ascii="Arial" w:eastAsia="Calibri" w:hAnsi="Arial" w:cs="Arial"/>
          <w:sz w:val="22"/>
          <w:szCs w:val="22"/>
          <w:lang w:val="en-AU"/>
        </w:rPr>
        <w:t xml:space="preserve">The </w:t>
      </w:r>
      <w:r w:rsidRPr="00795242">
        <w:rPr>
          <w:rFonts w:ascii="Arial" w:eastAsia="Calibri" w:hAnsi="Arial" w:cs="Arial"/>
          <w:i/>
          <w:sz w:val="22"/>
          <w:szCs w:val="22"/>
          <w:lang w:val="en-AU"/>
        </w:rPr>
        <w:t>Victorian Public Health and Wellbeing Act 2008</w:t>
      </w:r>
    </w:p>
    <w:p w:rsidR="00795242" w:rsidRPr="00795242" w:rsidRDefault="00795242" w:rsidP="00795242">
      <w:pPr>
        <w:numPr>
          <w:ilvl w:val="1"/>
          <w:numId w:val="14"/>
        </w:num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State Government has a significant role to protect, improve and promote public health and wellbeing. </w:t>
      </w:r>
      <w:r w:rsidRPr="00795242">
        <w:rPr>
          <w:rFonts w:ascii="Arial" w:eastAsia="Calibri" w:hAnsi="Arial" w:cs="Arial"/>
          <w:sz w:val="22"/>
          <w:szCs w:val="22"/>
          <w:vertAlign w:val="superscript"/>
          <w:lang w:val="en-AU"/>
        </w:rPr>
        <w:endnoteReference w:id="6"/>
      </w:r>
      <w:r w:rsidRPr="00795242">
        <w:rPr>
          <w:rFonts w:ascii="Arial" w:eastAsia="Calibri" w:hAnsi="Arial" w:cs="Arial"/>
          <w:sz w:val="22"/>
          <w:szCs w:val="22"/>
          <w:lang w:val="en-AU"/>
        </w:rPr>
        <w:t xml:space="preserve"> This Act states that the </w:t>
      </w:r>
      <w:r w:rsidRPr="00795242">
        <w:rPr>
          <w:rFonts w:ascii="Arial" w:eastAsia="Calibri" w:hAnsi="Arial" w:cs="Arial"/>
          <w:i/>
          <w:sz w:val="22"/>
          <w:szCs w:val="22"/>
          <w:lang w:val="en-AU"/>
        </w:rPr>
        <w:t xml:space="preserve">precautionary principle </w:t>
      </w:r>
      <w:r w:rsidRPr="00795242">
        <w:rPr>
          <w:rFonts w:ascii="Arial" w:eastAsia="Calibri" w:hAnsi="Arial" w:cs="Arial"/>
          <w:sz w:val="22"/>
          <w:szCs w:val="22"/>
          <w:lang w:val="en-AU"/>
        </w:rPr>
        <w:t>should be applied to decision making to prevent or control public health risk.</w:t>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numPr>
          <w:ilvl w:val="0"/>
          <w:numId w:val="14"/>
        </w:numPr>
        <w:spacing w:line="280" w:lineRule="atLeast"/>
        <w:contextualSpacing/>
        <w:jc w:val="both"/>
        <w:rPr>
          <w:rFonts w:ascii="Arial" w:eastAsia="Calibri" w:hAnsi="Arial" w:cs="Arial"/>
          <w:sz w:val="22"/>
          <w:szCs w:val="22"/>
          <w:lang w:val="en-AU"/>
        </w:rPr>
      </w:pPr>
      <w:r w:rsidRPr="00795242">
        <w:rPr>
          <w:rFonts w:ascii="Arial" w:eastAsia="Calibri" w:hAnsi="Arial" w:cs="Arial"/>
          <w:sz w:val="22"/>
          <w:szCs w:val="22"/>
          <w:lang w:val="en-AU"/>
        </w:rPr>
        <w:t xml:space="preserve">The Victorian Responsible Gambling Foundation initiated under the </w:t>
      </w:r>
      <w:r w:rsidRPr="00795242">
        <w:rPr>
          <w:rFonts w:ascii="Arial" w:eastAsia="Calibri" w:hAnsi="Arial" w:cs="Arial"/>
          <w:i/>
          <w:sz w:val="22"/>
          <w:szCs w:val="22"/>
          <w:lang w:val="en-AU"/>
        </w:rPr>
        <w:t>Victorian Responsible Gambling Foundation Act 2011</w:t>
      </w:r>
      <w:r w:rsidRPr="00795242">
        <w:rPr>
          <w:rFonts w:ascii="Arial" w:eastAsia="Calibri" w:hAnsi="Arial" w:cs="Arial"/>
          <w:sz w:val="22"/>
          <w:szCs w:val="22"/>
          <w:lang w:val="en-AU"/>
        </w:rPr>
        <w:t xml:space="preserve"> aims to reduce the prevalence and harms of problem gambling. </w:t>
      </w:r>
      <w:r w:rsidRPr="00795242">
        <w:rPr>
          <w:rFonts w:ascii="Arial" w:eastAsia="Calibri" w:hAnsi="Arial" w:cs="Arial"/>
          <w:sz w:val="22"/>
          <w:szCs w:val="22"/>
          <w:vertAlign w:val="superscript"/>
          <w:lang w:val="en-AU"/>
        </w:rPr>
        <w:endnoteReference w:id="7"/>
      </w:r>
    </w:p>
    <w:p w:rsidR="00795242" w:rsidRPr="00795242" w:rsidRDefault="00795242" w:rsidP="00795242">
      <w:pPr>
        <w:spacing w:line="280" w:lineRule="atLeast"/>
        <w:contextualSpacing/>
        <w:jc w:val="both"/>
        <w:rPr>
          <w:rFonts w:ascii="Arial" w:eastAsia="Calibri" w:hAnsi="Arial" w:cs="Arial"/>
          <w:sz w:val="22"/>
          <w:szCs w:val="22"/>
          <w:lang w:val="en-AU"/>
        </w:rPr>
      </w:pPr>
    </w:p>
    <w:p w:rsidR="00795242" w:rsidRPr="00795242" w:rsidRDefault="00795242" w:rsidP="00795242">
      <w:pPr>
        <w:numPr>
          <w:ilvl w:val="0"/>
          <w:numId w:val="14"/>
        </w:numPr>
        <w:spacing w:line="280" w:lineRule="atLeast"/>
        <w:contextualSpacing/>
        <w:rPr>
          <w:rFonts w:ascii="Arial" w:eastAsia="Calibri" w:hAnsi="Arial" w:cs="Arial"/>
          <w:b/>
          <w:sz w:val="22"/>
          <w:szCs w:val="22"/>
          <w:lang w:val="en-AU"/>
        </w:rPr>
      </w:pPr>
      <w:r w:rsidRPr="00795242">
        <w:rPr>
          <w:rFonts w:ascii="Arial" w:eastAsia="Calibri" w:hAnsi="Arial" w:cs="Arial"/>
          <w:sz w:val="22"/>
          <w:szCs w:val="22"/>
          <w:lang w:val="en-AU"/>
        </w:rPr>
        <w:t xml:space="preserve">The Australian Government </w:t>
      </w:r>
      <w:r w:rsidRPr="00795242">
        <w:rPr>
          <w:rFonts w:ascii="Arial" w:eastAsia="Calibri" w:hAnsi="Arial" w:cs="Arial"/>
          <w:b/>
          <w:sz w:val="22"/>
          <w:szCs w:val="22"/>
          <w:lang w:val="en-AU"/>
        </w:rPr>
        <w:t>Department of Social Services</w:t>
      </w:r>
      <w:r w:rsidRPr="00795242">
        <w:rPr>
          <w:rFonts w:ascii="Arial" w:eastAsia="Calibri" w:hAnsi="Arial" w:cs="Arial"/>
          <w:sz w:val="22"/>
          <w:szCs w:val="22"/>
          <w:lang w:val="en-AU"/>
        </w:rPr>
        <w:t xml:space="preserve"> vision is for </w:t>
      </w:r>
      <w:r w:rsidRPr="00795242">
        <w:rPr>
          <w:rFonts w:ascii="Arial" w:eastAsia="Calibri" w:hAnsi="Arial" w:cs="Arial"/>
          <w:i/>
          <w:sz w:val="22"/>
          <w:szCs w:val="22"/>
          <w:lang w:val="en-AU"/>
        </w:rPr>
        <w:t>‘a strong and fair society for all Australians.’</w:t>
      </w:r>
      <w:r w:rsidRPr="00795242">
        <w:rPr>
          <w:rFonts w:ascii="Arial" w:eastAsia="Calibri" w:hAnsi="Arial" w:cs="Arial"/>
          <w:sz w:val="22"/>
          <w:szCs w:val="22"/>
          <w:lang w:val="en-AU"/>
        </w:rPr>
        <w:t xml:space="preserve">  Communities and Vulnerable People is one of the Departments responsibility areas in which the sits gambling portfolio.  The Australian Government is committed to amending the National Gambling Reform Act 2012.</w:t>
      </w:r>
      <w:r w:rsidRPr="00795242">
        <w:rPr>
          <w:rFonts w:ascii="Arial" w:eastAsia="Calibri" w:hAnsi="Arial" w:cs="Arial"/>
          <w:b/>
          <w:sz w:val="22"/>
          <w:szCs w:val="22"/>
          <w:vertAlign w:val="superscript"/>
          <w:lang w:val="en-AU"/>
        </w:rPr>
        <w:endnoteReference w:id="8"/>
      </w:r>
      <w:r w:rsidRPr="00795242">
        <w:rPr>
          <w:rFonts w:ascii="Arial" w:eastAsia="Calibri" w:hAnsi="Arial" w:cs="Arial"/>
          <w:sz w:val="22"/>
          <w:szCs w:val="22"/>
          <w:lang w:val="en-AU"/>
        </w:rPr>
        <w:t xml:space="preserve"> </w:t>
      </w: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p>
    <w:p w:rsidR="0098369C" w:rsidRDefault="0098369C"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2"/>
          <w:szCs w:val="22"/>
          <w:lang w:val="en-GB" w:eastAsia="en-AU"/>
        </w:rPr>
      </w:pPr>
      <w:r w:rsidRPr="00795242">
        <w:rPr>
          <w:rFonts w:ascii="Arial" w:eastAsia="Times New Roman" w:hAnsi="Arial" w:cs="Arial"/>
          <w:b/>
          <w:color w:val="0070C0"/>
          <w:sz w:val="22"/>
          <w:szCs w:val="22"/>
          <w:lang w:val="en-GB" w:eastAsia="en-AU"/>
        </w:rPr>
        <w:t>Key messages</w:t>
      </w:r>
    </w:p>
    <w:p w:rsidR="00795242" w:rsidRPr="00795242" w:rsidRDefault="00795242" w:rsidP="00795242">
      <w:pPr>
        <w:spacing w:line="280" w:lineRule="atLeast"/>
        <w:contextualSpacing/>
        <w:jc w:val="both"/>
        <w:rPr>
          <w:rFonts w:ascii="Arial" w:eastAsia="Times New Roman" w:hAnsi="Arial" w:cs="Arial"/>
          <w:b/>
          <w:color w:val="000000"/>
          <w:sz w:val="22"/>
          <w:szCs w:val="22"/>
          <w:lang w:val="en-AU" w:eastAsia="en-AU"/>
        </w:rPr>
      </w:pPr>
    </w:p>
    <w:p w:rsidR="00795242" w:rsidRPr="00795242" w:rsidRDefault="00795242" w:rsidP="00795242">
      <w:pPr>
        <w:numPr>
          <w:ilvl w:val="0"/>
          <w:numId w:val="12"/>
        </w:numPr>
        <w:spacing w:line="280" w:lineRule="atLeast"/>
        <w:contextualSpacing/>
        <w:jc w:val="both"/>
        <w:rPr>
          <w:rFonts w:ascii="Arial" w:eastAsia="Times New Roman" w:hAnsi="Arial" w:cs="Arial"/>
          <w:color w:val="000000"/>
          <w:sz w:val="22"/>
          <w:szCs w:val="22"/>
          <w:lang w:val="en-AU" w:eastAsia="en-AU"/>
        </w:rPr>
      </w:pPr>
      <w:r w:rsidRPr="00795242">
        <w:rPr>
          <w:rFonts w:ascii="Arial" w:eastAsia="Times New Roman" w:hAnsi="Arial" w:cs="Arial"/>
          <w:color w:val="000000"/>
          <w:sz w:val="22"/>
          <w:szCs w:val="22"/>
          <w:lang w:val="en-AU" w:eastAsia="en-AU"/>
        </w:rPr>
        <w:t>Relocate EGMs in shopping precincts to less prominent locations</w:t>
      </w:r>
    </w:p>
    <w:p w:rsidR="00795242" w:rsidRPr="00795242" w:rsidRDefault="00795242" w:rsidP="00795242">
      <w:pPr>
        <w:spacing w:line="280" w:lineRule="atLeast"/>
        <w:ind w:left="720"/>
        <w:contextualSpacing/>
        <w:jc w:val="both"/>
        <w:rPr>
          <w:rFonts w:ascii="Arial" w:eastAsia="Times New Roman" w:hAnsi="Arial" w:cs="Arial"/>
          <w:color w:val="000000"/>
          <w:sz w:val="22"/>
          <w:szCs w:val="22"/>
          <w:lang w:val="en-AU" w:eastAsia="en-AU"/>
        </w:rPr>
      </w:pPr>
    </w:p>
    <w:p w:rsidR="00795242" w:rsidRPr="00795242" w:rsidRDefault="00795242" w:rsidP="00795242">
      <w:pPr>
        <w:numPr>
          <w:ilvl w:val="0"/>
          <w:numId w:val="12"/>
        </w:numPr>
        <w:spacing w:line="280" w:lineRule="atLeast"/>
        <w:contextualSpacing/>
        <w:jc w:val="both"/>
        <w:rPr>
          <w:rFonts w:ascii="Arial" w:eastAsia="Times New Roman" w:hAnsi="Arial" w:cs="Arial"/>
          <w:color w:val="000000"/>
          <w:sz w:val="22"/>
          <w:szCs w:val="22"/>
          <w:lang w:val="en-AU" w:eastAsia="en-AU"/>
        </w:rPr>
      </w:pPr>
      <w:r w:rsidRPr="00795242">
        <w:rPr>
          <w:rFonts w:ascii="Arial" w:eastAsia="Times New Roman" w:hAnsi="Arial" w:cs="Arial"/>
          <w:bCs/>
          <w:color w:val="000000"/>
          <w:sz w:val="22"/>
          <w:szCs w:val="22"/>
          <w:lang w:val="en-AU" w:eastAsia="en-AU"/>
        </w:rPr>
        <w:t>Reduce the maximum allowable bet on poker machines to $1 per spin with maximum $120 losses per hour</w:t>
      </w:r>
    </w:p>
    <w:p w:rsidR="00795242" w:rsidRDefault="00795242"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460237" w:rsidRPr="00795242" w:rsidRDefault="00460237" w:rsidP="00795242">
      <w:pPr>
        <w:spacing w:line="280" w:lineRule="atLeast"/>
        <w:ind w:left="720"/>
        <w:contextualSpacing/>
        <w:jc w:val="both"/>
        <w:rPr>
          <w:rFonts w:ascii="Arial" w:eastAsia="Times New Roman" w:hAnsi="Arial" w:cs="Arial"/>
          <w:color w:val="000000"/>
          <w:sz w:val="22"/>
          <w:szCs w:val="22"/>
          <w:lang w:val="en-AU" w:eastAsia="en-AU"/>
        </w:rPr>
      </w:pPr>
    </w:p>
    <w:p w:rsidR="00795242" w:rsidRPr="00795242" w:rsidRDefault="00795242" w:rsidP="00795242">
      <w:pPr>
        <w:numPr>
          <w:ilvl w:val="0"/>
          <w:numId w:val="12"/>
        </w:numPr>
        <w:spacing w:line="280" w:lineRule="atLeast"/>
        <w:contextualSpacing/>
        <w:jc w:val="both"/>
        <w:rPr>
          <w:rFonts w:ascii="Arial" w:eastAsia="Times New Roman" w:hAnsi="Arial" w:cs="Arial"/>
          <w:color w:val="000000"/>
          <w:sz w:val="22"/>
          <w:szCs w:val="22"/>
          <w:lang w:val="en-AU" w:eastAsia="en-AU"/>
        </w:rPr>
      </w:pPr>
      <w:r w:rsidRPr="00795242">
        <w:rPr>
          <w:rFonts w:ascii="Arial" w:eastAsia="Times New Roman" w:hAnsi="Arial" w:cs="Arial"/>
          <w:color w:val="000000"/>
          <w:sz w:val="22"/>
          <w:szCs w:val="22"/>
          <w:lang w:val="en-AU" w:eastAsia="en-AU"/>
        </w:rPr>
        <w:t>Cap the future number of EGMs in Whittlesea’s growth areas</w:t>
      </w:r>
    </w:p>
    <w:p w:rsidR="00795242" w:rsidRDefault="00795242" w:rsidP="00795242">
      <w:pPr>
        <w:spacing w:line="280" w:lineRule="atLeast"/>
        <w:ind w:left="720"/>
        <w:contextualSpacing/>
        <w:rPr>
          <w:rFonts w:ascii="Arial" w:eastAsia="Calibri" w:hAnsi="Arial" w:cs="Arial"/>
          <w:sz w:val="22"/>
          <w:szCs w:val="22"/>
          <w:lang w:val="en-AU"/>
        </w:rPr>
      </w:pPr>
    </w:p>
    <w:p w:rsidR="00795242" w:rsidRPr="00795242" w:rsidRDefault="00795242" w:rsidP="00795242">
      <w:pPr>
        <w:numPr>
          <w:ilvl w:val="0"/>
          <w:numId w:val="12"/>
        </w:numPr>
        <w:spacing w:line="280" w:lineRule="atLeast"/>
        <w:contextualSpacing/>
        <w:jc w:val="both"/>
        <w:rPr>
          <w:rFonts w:ascii="Arial" w:eastAsia="Times New Roman" w:hAnsi="Arial" w:cs="Arial"/>
          <w:color w:val="000000"/>
          <w:sz w:val="22"/>
          <w:szCs w:val="22"/>
          <w:lang w:val="en-AU" w:eastAsia="en-AU"/>
        </w:rPr>
      </w:pPr>
      <w:r w:rsidRPr="00795242">
        <w:rPr>
          <w:rFonts w:ascii="Arial" w:eastAsia="Times New Roman" w:hAnsi="Arial" w:cs="Arial"/>
          <w:color w:val="000000"/>
          <w:sz w:val="22"/>
          <w:szCs w:val="22"/>
          <w:lang w:val="en-AU" w:eastAsia="en-AU"/>
        </w:rPr>
        <w:t>Stop taxing the most vulnerable in our community through EGM revenue in shopping precincts</w:t>
      </w:r>
    </w:p>
    <w:p w:rsidR="00795242" w:rsidRPr="00795242" w:rsidRDefault="00795242" w:rsidP="00795242">
      <w:pPr>
        <w:spacing w:line="280" w:lineRule="atLeast"/>
        <w:ind w:left="720"/>
        <w:contextualSpacing/>
        <w:jc w:val="both"/>
        <w:rPr>
          <w:rFonts w:ascii="Arial" w:eastAsia="Times New Roman" w:hAnsi="Arial" w:cs="Arial"/>
          <w:color w:val="000000"/>
          <w:sz w:val="22"/>
          <w:szCs w:val="22"/>
          <w:lang w:val="en-AU" w:eastAsia="en-AU"/>
        </w:rPr>
      </w:pPr>
    </w:p>
    <w:p w:rsidR="00795242" w:rsidRPr="00795242" w:rsidRDefault="00795242" w:rsidP="00795242">
      <w:pPr>
        <w:numPr>
          <w:ilvl w:val="0"/>
          <w:numId w:val="12"/>
        </w:numPr>
        <w:spacing w:line="280" w:lineRule="atLeast"/>
        <w:contextualSpacing/>
        <w:jc w:val="both"/>
        <w:rPr>
          <w:rFonts w:ascii="Arial" w:eastAsia="Times New Roman" w:hAnsi="Arial" w:cs="Arial"/>
          <w:color w:val="000000"/>
          <w:sz w:val="22"/>
          <w:szCs w:val="22"/>
          <w:lang w:val="en-AU" w:eastAsia="en-AU"/>
        </w:rPr>
      </w:pPr>
      <w:r w:rsidRPr="00795242">
        <w:rPr>
          <w:rFonts w:ascii="Arial" w:eastAsia="Times New Roman" w:hAnsi="Arial" w:cs="Arial"/>
          <w:color w:val="000000"/>
          <w:sz w:val="22"/>
          <w:szCs w:val="22"/>
          <w:lang w:val="en-AU" w:eastAsia="en-AU"/>
        </w:rPr>
        <w:t>The EGM licences issued in the past for shopping precincts of Epping Plaza, The Stables Mill Park, and Bundoora Square is haunting the City of Whittlesea. Revoking licenses in these circumstances is what the community needs to put the health and wealth back into the City of Whittlesea.</w:t>
      </w:r>
    </w:p>
    <w:p w:rsidR="0098369C" w:rsidRDefault="0098369C" w:rsidP="00795242">
      <w:pPr>
        <w:spacing w:line="280" w:lineRule="atLeast"/>
        <w:contextualSpacing/>
        <w:jc w:val="both"/>
        <w:rPr>
          <w:rFonts w:ascii="Arial" w:eastAsia="Times New Roman" w:hAnsi="Arial" w:cs="Arial"/>
          <w:b/>
          <w:color w:val="0070C0"/>
          <w:sz w:val="22"/>
          <w:szCs w:val="22"/>
          <w:lang w:val="en-GB" w:eastAsia="en-AU"/>
        </w:rPr>
      </w:pPr>
    </w:p>
    <w:p w:rsidR="0098369C" w:rsidRDefault="0098369C" w:rsidP="00795242">
      <w:pPr>
        <w:spacing w:line="280" w:lineRule="atLeast"/>
        <w:contextualSpacing/>
        <w:jc w:val="both"/>
        <w:rPr>
          <w:rFonts w:ascii="Arial" w:eastAsia="Times New Roman" w:hAnsi="Arial" w:cs="Arial"/>
          <w:b/>
          <w:color w:val="0070C0"/>
          <w:sz w:val="22"/>
          <w:szCs w:val="22"/>
          <w:lang w:val="en-GB" w:eastAsia="en-AU"/>
        </w:rPr>
      </w:pPr>
    </w:p>
    <w:p w:rsidR="002945EA" w:rsidRDefault="002945EA"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0"/>
          <w:szCs w:val="22"/>
          <w:lang w:val="en-GB" w:eastAsia="en-AU"/>
        </w:rPr>
      </w:pPr>
      <w:r w:rsidRPr="00795242">
        <w:rPr>
          <w:rFonts w:ascii="Arial" w:eastAsia="Times New Roman" w:hAnsi="Arial" w:cs="Arial"/>
          <w:b/>
          <w:color w:val="0070C0"/>
          <w:sz w:val="20"/>
          <w:szCs w:val="22"/>
          <w:lang w:val="en-GB" w:eastAsia="en-AU"/>
        </w:rPr>
        <w:t>Appendix 1: TOTAL AND NET EXPENDITURE ON EGMS FOR WHITTLESEA AND OTHER VICTORIAN LOCAL GOVERNMENT AREAS</w:t>
      </w:r>
    </w:p>
    <w:p w:rsidR="00795242" w:rsidRDefault="00795242" w:rsidP="00795242">
      <w:pPr>
        <w:spacing w:line="280" w:lineRule="atLeast"/>
        <w:contextualSpacing/>
        <w:jc w:val="both"/>
        <w:rPr>
          <w:rFonts w:ascii="Arial" w:eastAsia="Times New Roman" w:hAnsi="Arial" w:cs="Arial"/>
          <w:bCs/>
          <w:sz w:val="22"/>
          <w:szCs w:val="22"/>
          <w:lang w:val="en-AU" w:eastAsia="en-AU"/>
        </w:rPr>
      </w:pPr>
    </w:p>
    <w:p w:rsidR="002945EA" w:rsidRPr="00795242" w:rsidRDefault="002945EA" w:rsidP="00795242">
      <w:pPr>
        <w:spacing w:line="280" w:lineRule="atLeast"/>
        <w:contextualSpacing/>
        <w:jc w:val="both"/>
        <w:rPr>
          <w:rFonts w:ascii="Arial" w:eastAsia="Times New Roman" w:hAnsi="Arial" w:cs="Arial"/>
          <w:bCs/>
          <w:sz w:val="22"/>
          <w:szCs w:val="22"/>
          <w:lang w:val="en-AU" w:eastAsia="en-AU"/>
        </w:rPr>
      </w:pPr>
    </w:p>
    <w:tbl>
      <w:tblPr>
        <w:tblW w:w="10203" w:type="dxa"/>
        <w:tblLook w:val="04A0" w:firstRow="1" w:lastRow="0" w:firstColumn="1" w:lastColumn="0" w:noHBand="0" w:noVBand="1"/>
      </w:tblPr>
      <w:tblGrid>
        <w:gridCol w:w="1985"/>
        <w:gridCol w:w="1276"/>
        <w:gridCol w:w="906"/>
        <w:gridCol w:w="672"/>
        <w:gridCol w:w="1824"/>
        <w:gridCol w:w="1276"/>
        <w:gridCol w:w="1350"/>
        <w:gridCol w:w="914"/>
      </w:tblGrid>
      <w:tr w:rsidR="00795242" w:rsidRPr="00795242" w:rsidTr="00460237">
        <w:trPr>
          <w:trHeight w:val="900"/>
        </w:trPr>
        <w:tc>
          <w:tcPr>
            <w:tcW w:w="1985"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p>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City / Shire</w:t>
            </w:r>
          </w:p>
        </w:tc>
        <w:tc>
          <w:tcPr>
            <w:tcW w:w="1276"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2012 Population (18+) Projection</w:t>
            </w:r>
          </w:p>
        </w:tc>
        <w:tc>
          <w:tcPr>
            <w:tcW w:w="906"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VENUE NO.</w:t>
            </w:r>
          </w:p>
        </w:tc>
        <w:tc>
          <w:tcPr>
            <w:tcW w:w="672"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EGM NO.</w:t>
            </w:r>
          </w:p>
        </w:tc>
        <w:tc>
          <w:tcPr>
            <w:tcW w:w="1824"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2945EA">
            <w:pPr>
              <w:spacing w:line="280" w:lineRule="atLeast"/>
              <w:contextualSpacing/>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TOTAL NET EXPENDITURE 2011-12</w:t>
            </w:r>
          </w:p>
        </w:tc>
        <w:tc>
          <w:tcPr>
            <w:tcW w:w="1276"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Population (18+) per venue</w:t>
            </w:r>
          </w:p>
        </w:tc>
        <w:tc>
          <w:tcPr>
            <w:tcW w:w="1350"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rPr>
                <w:rFonts w:ascii="Arial" w:eastAsia="Times New Roman" w:hAnsi="Arial" w:cs="Arial"/>
                <w:b/>
                <w:bCs/>
                <w:color w:val="002060"/>
                <w:sz w:val="20"/>
                <w:szCs w:val="22"/>
                <w:u w:val="single"/>
                <w:lang w:val="en-AU" w:eastAsia="en-AU"/>
              </w:rPr>
            </w:pPr>
            <w:r w:rsidRPr="00795242">
              <w:rPr>
                <w:rFonts w:ascii="Arial" w:eastAsia="Times New Roman" w:hAnsi="Arial" w:cs="Arial"/>
                <w:b/>
                <w:bCs/>
                <w:color w:val="002060"/>
                <w:sz w:val="20"/>
                <w:szCs w:val="22"/>
                <w:u w:val="single"/>
                <w:lang w:val="en-AU" w:eastAsia="en-AU"/>
              </w:rPr>
              <w:t>Net EGM expenditure per adult</w:t>
            </w:r>
          </w:p>
        </w:tc>
        <w:tc>
          <w:tcPr>
            <w:tcW w:w="914" w:type="dxa"/>
            <w:tcBorders>
              <w:top w:val="single" w:sz="4" w:space="0" w:color="auto"/>
              <w:left w:val="nil"/>
              <w:bottom w:val="single" w:sz="4" w:space="0" w:color="auto"/>
              <w:right w:val="nil"/>
            </w:tcBorders>
            <w:shd w:val="clear" w:color="auto" w:fill="auto"/>
            <w:vAlign w:val="center"/>
            <w:hideMark/>
          </w:tcPr>
          <w:p w:rsidR="00795242" w:rsidRPr="00795242" w:rsidRDefault="00795242" w:rsidP="00795242">
            <w:pPr>
              <w:spacing w:line="280" w:lineRule="atLeast"/>
              <w:contextualSpacing/>
              <w:jc w:val="both"/>
              <w:rPr>
                <w:rFonts w:ascii="Arial" w:eastAsia="Times New Roman" w:hAnsi="Arial" w:cs="Arial"/>
                <w:b/>
                <w:bCs/>
                <w:color w:val="002060"/>
                <w:sz w:val="20"/>
                <w:szCs w:val="22"/>
                <w:lang w:val="en-AU" w:eastAsia="en-AU"/>
              </w:rPr>
            </w:pPr>
            <w:r w:rsidRPr="00795242">
              <w:rPr>
                <w:rFonts w:ascii="Arial" w:eastAsia="Times New Roman" w:hAnsi="Arial" w:cs="Arial"/>
                <w:b/>
                <w:bCs/>
                <w:color w:val="002060"/>
                <w:sz w:val="20"/>
                <w:szCs w:val="22"/>
                <w:lang w:val="en-AU" w:eastAsia="en-AU"/>
              </w:rPr>
              <w:t>EGM per 1000 (18+)</w:t>
            </w:r>
          </w:p>
        </w:tc>
      </w:tr>
      <w:tr w:rsidR="00795242" w:rsidRPr="00795242" w:rsidTr="00460237">
        <w:trPr>
          <w:trHeight w:val="300"/>
        </w:trPr>
        <w:tc>
          <w:tcPr>
            <w:tcW w:w="1985"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Greater Dandenong</w:t>
            </w:r>
          </w:p>
        </w:tc>
        <w:tc>
          <w:tcPr>
            <w:tcW w:w="1276"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109,714</w:t>
            </w:r>
          </w:p>
        </w:tc>
        <w:tc>
          <w:tcPr>
            <w:tcW w:w="906"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15</w:t>
            </w:r>
          </w:p>
        </w:tc>
        <w:tc>
          <w:tcPr>
            <w:tcW w:w="672"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952</w:t>
            </w:r>
          </w:p>
        </w:tc>
        <w:tc>
          <w:tcPr>
            <w:tcW w:w="1824"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$117,556,980.98</w:t>
            </w:r>
          </w:p>
        </w:tc>
        <w:tc>
          <w:tcPr>
            <w:tcW w:w="1276"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7,314</w:t>
            </w:r>
          </w:p>
        </w:tc>
        <w:tc>
          <w:tcPr>
            <w:tcW w:w="1350"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$1,071</w:t>
            </w:r>
          </w:p>
        </w:tc>
        <w:tc>
          <w:tcPr>
            <w:tcW w:w="914" w:type="dxa"/>
            <w:tcBorders>
              <w:top w:val="single" w:sz="4" w:space="0" w:color="auto"/>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8.68</w:t>
            </w:r>
          </w:p>
        </w:tc>
      </w:tr>
      <w:tr w:rsidR="00795242" w:rsidRPr="00795242" w:rsidTr="00460237">
        <w:trPr>
          <w:trHeight w:val="300"/>
        </w:trPr>
        <w:tc>
          <w:tcPr>
            <w:tcW w:w="1985"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 xml:space="preserve">City of </w:t>
            </w:r>
            <w:proofErr w:type="spellStart"/>
            <w:r w:rsidRPr="00795242">
              <w:rPr>
                <w:rFonts w:ascii="Arial" w:eastAsia="Times New Roman" w:hAnsi="Arial" w:cs="Arial"/>
                <w:color w:val="0070C0"/>
                <w:sz w:val="20"/>
                <w:szCs w:val="22"/>
                <w:lang w:val="en-AU" w:eastAsia="en-AU"/>
              </w:rPr>
              <w:t>Brimbank</w:t>
            </w:r>
            <w:proofErr w:type="spellEnd"/>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150,047</w:t>
            </w:r>
          </w:p>
        </w:tc>
        <w:tc>
          <w:tcPr>
            <w:tcW w:w="90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15</w:t>
            </w:r>
          </w:p>
        </w:tc>
        <w:tc>
          <w:tcPr>
            <w:tcW w:w="672"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948</w:t>
            </w:r>
          </w:p>
        </w:tc>
        <w:tc>
          <w:tcPr>
            <w:tcW w:w="182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$145,619,089.80</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10,003</w:t>
            </w:r>
          </w:p>
        </w:tc>
        <w:tc>
          <w:tcPr>
            <w:tcW w:w="1350"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$970</w:t>
            </w:r>
          </w:p>
        </w:tc>
        <w:tc>
          <w:tcPr>
            <w:tcW w:w="91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6.32</w:t>
            </w:r>
          </w:p>
        </w:tc>
      </w:tr>
      <w:tr w:rsidR="00795242" w:rsidRPr="00795242" w:rsidTr="00460237">
        <w:trPr>
          <w:trHeight w:val="300"/>
        </w:trPr>
        <w:tc>
          <w:tcPr>
            <w:tcW w:w="1985"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Maribyrnong</w:t>
            </w:r>
          </w:p>
        </w:tc>
        <w:tc>
          <w:tcPr>
            <w:tcW w:w="127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61,540</w:t>
            </w:r>
          </w:p>
        </w:tc>
        <w:tc>
          <w:tcPr>
            <w:tcW w:w="90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10</w:t>
            </w:r>
          </w:p>
        </w:tc>
        <w:tc>
          <w:tcPr>
            <w:tcW w:w="672"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439</w:t>
            </w:r>
          </w:p>
        </w:tc>
        <w:tc>
          <w:tcPr>
            <w:tcW w:w="1824"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$56,099,418.11</w:t>
            </w:r>
          </w:p>
        </w:tc>
        <w:tc>
          <w:tcPr>
            <w:tcW w:w="127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6,154</w:t>
            </w:r>
          </w:p>
        </w:tc>
        <w:tc>
          <w:tcPr>
            <w:tcW w:w="1350"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$912</w:t>
            </w:r>
          </w:p>
        </w:tc>
        <w:tc>
          <w:tcPr>
            <w:tcW w:w="914"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7.13</w:t>
            </w:r>
          </w:p>
        </w:tc>
      </w:tr>
      <w:tr w:rsidR="00795242" w:rsidRPr="00795242" w:rsidTr="00460237">
        <w:trPr>
          <w:trHeight w:val="300"/>
        </w:trPr>
        <w:tc>
          <w:tcPr>
            <w:tcW w:w="1985"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Moonee Valley</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92,532</w:t>
            </w:r>
          </w:p>
        </w:tc>
        <w:tc>
          <w:tcPr>
            <w:tcW w:w="90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11</w:t>
            </w:r>
          </w:p>
        </w:tc>
        <w:tc>
          <w:tcPr>
            <w:tcW w:w="672"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746</w:t>
            </w:r>
          </w:p>
        </w:tc>
        <w:tc>
          <w:tcPr>
            <w:tcW w:w="182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$77,910,935.20</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8,412</w:t>
            </w:r>
          </w:p>
        </w:tc>
        <w:tc>
          <w:tcPr>
            <w:tcW w:w="1350"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$842</w:t>
            </w:r>
          </w:p>
        </w:tc>
        <w:tc>
          <w:tcPr>
            <w:tcW w:w="91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8.06</w:t>
            </w:r>
          </w:p>
        </w:tc>
      </w:tr>
      <w:tr w:rsidR="00795242" w:rsidRPr="00795242" w:rsidTr="00460237">
        <w:trPr>
          <w:trHeight w:val="300"/>
        </w:trPr>
        <w:tc>
          <w:tcPr>
            <w:tcW w:w="1985"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Monash</w:t>
            </w:r>
          </w:p>
        </w:tc>
        <w:tc>
          <w:tcPr>
            <w:tcW w:w="127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147,732</w:t>
            </w:r>
          </w:p>
        </w:tc>
        <w:tc>
          <w:tcPr>
            <w:tcW w:w="90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15</w:t>
            </w:r>
          </w:p>
        </w:tc>
        <w:tc>
          <w:tcPr>
            <w:tcW w:w="672"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990</w:t>
            </w:r>
          </w:p>
        </w:tc>
        <w:tc>
          <w:tcPr>
            <w:tcW w:w="1824"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$122,352,426.15</w:t>
            </w:r>
          </w:p>
        </w:tc>
        <w:tc>
          <w:tcPr>
            <w:tcW w:w="1276"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9,849</w:t>
            </w:r>
          </w:p>
        </w:tc>
        <w:tc>
          <w:tcPr>
            <w:tcW w:w="1350"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$828</w:t>
            </w:r>
          </w:p>
        </w:tc>
        <w:tc>
          <w:tcPr>
            <w:tcW w:w="914" w:type="dxa"/>
            <w:tcBorders>
              <w:top w:val="nil"/>
              <w:left w:val="nil"/>
              <w:bottom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6.7</w:t>
            </w:r>
          </w:p>
        </w:tc>
      </w:tr>
      <w:tr w:rsidR="00795242" w:rsidRPr="00795242" w:rsidTr="00460237">
        <w:trPr>
          <w:trHeight w:val="300"/>
        </w:trPr>
        <w:tc>
          <w:tcPr>
            <w:tcW w:w="1985"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Latrobe</w:t>
            </w:r>
          </w:p>
        </w:tc>
        <w:tc>
          <w:tcPr>
            <w:tcW w:w="1276"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59,105</w:t>
            </w:r>
          </w:p>
        </w:tc>
        <w:tc>
          <w:tcPr>
            <w:tcW w:w="906"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13</w:t>
            </w:r>
          </w:p>
        </w:tc>
        <w:tc>
          <w:tcPr>
            <w:tcW w:w="672"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522</w:t>
            </w:r>
          </w:p>
        </w:tc>
        <w:tc>
          <w:tcPr>
            <w:tcW w:w="1824"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$47,329,538.50</w:t>
            </w:r>
          </w:p>
        </w:tc>
        <w:tc>
          <w:tcPr>
            <w:tcW w:w="1276"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4,547</w:t>
            </w:r>
          </w:p>
        </w:tc>
        <w:tc>
          <w:tcPr>
            <w:tcW w:w="1350"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$801</w:t>
            </w:r>
          </w:p>
        </w:tc>
        <w:tc>
          <w:tcPr>
            <w:tcW w:w="914" w:type="dxa"/>
            <w:tcBorders>
              <w:top w:val="nil"/>
              <w:left w:val="nil"/>
              <w:right w:val="nil"/>
            </w:tcBorders>
            <w:shd w:val="clear" w:color="auto" w:fill="auto"/>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8.83</w:t>
            </w:r>
          </w:p>
        </w:tc>
      </w:tr>
      <w:tr w:rsidR="00795242" w:rsidRPr="00795242" w:rsidTr="00460237">
        <w:trPr>
          <w:trHeight w:val="300"/>
        </w:trPr>
        <w:tc>
          <w:tcPr>
            <w:tcW w:w="1985" w:type="dxa"/>
            <w:tcBorders>
              <w:top w:val="nil"/>
              <w:left w:val="nil"/>
              <w:bottom w:val="nil"/>
              <w:right w:val="nil"/>
            </w:tcBorders>
            <w:shd w:val="clear" w:color="000000" w:fill="FFFF00"/>
            <w:noWrap/>
            <w:vAlign w:val="center"/>
            <w:hideMark/>
          </w:tcPr>
          <w:p w:rsidR="00795242" w:rsidRPr="00795242" w:rsidRDefault="00B47DA0" w:rsidP="00460237">
            <w:pPr>
              <w:spacing w:before="60" w:after="60" w:line="280" w:lineRule="atLeast"/>
              <w:rPr>
                <w:rFonts w:ascii="Arial" w:eastAsia="Times New Roman" w:hAnsi="Arial" w:cs="Arial"/>
                <w:b/>
                <w:color w:val="0070C0"/>
                <w:sz w:val="20"/>
                <w:szCs w:val="22"/>
                <w:highlight w:val="yellow"/>
                <w:lang w:val="en-AU" w:eastAsia="en-AU"/>
              </w:rPr>
            </w:pPr>
            <w:hyperlink r:id="rId8" w:history="1">
              <w:r w:rsidR="00795242" w:rsidRPr="00795242">
                <w:rPr>
                  <w:rFonts w:ascii="Arial" w:eastAsia="Times New Roman" w:hAnsi="Arial" w:cs="Arial"/>
                  <w:b/>
                  <w:color w:val="0070C0"/>
                  <w:sz w:val="20"/>
                  <w:szCs w:val="22"/>
                  <w:highlight w:val="yellow"/>
                  <w:lang w:val="en-AU" w:eastAsia="en-AU"/>
                </w:rPr>
                <w:t>City of Whittlesea</w:t>
              </w:r>
            </w:hyperlink>
          </w:p>
        </w:tc>
        <w:tc>
          <w:tcPr>
            <w:tcW w:w="1276"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80"/>
                <w:sz w:val="20"/>
                <w:szCs w:val="20"/>
                <w:highlight w:val="yellow"/>
                <w:lang w:val="en-AU" w:eastAsia="en-AU"/>
              </w:rPr>
            </w:pPr>
            <w:r w:rsidRPr="00795242">
              <w:rPr>
                <w:rFonts w:ascii="Arial" w:eastAsia="Times New Roman" w:hAnsi="Arial" w:cs="Arial"/>
                <w:b/>
                <w:color w:val="000080"/>
                <w:sz w:val="20"/>
                <w:szCs w:val="20"/>
                <w:highlight w:val="yellow"/>
                <w:lang w:val="en-AU" w:eastAsia="en-AU"/>
              </w:rPr>
              <w:t>128,233</w:t>
            </w:r>
          </w:p>
        </w:tc>
        <w:tc>
          <w:tcPr>
            <w:tcW w:w="906"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80"/>
                <w:sz w:val="20"/>
                <w:szCs w:val="20"/>
                <w:highlight w:val="yellow"/>
                <w:lang w:val="en-AU" w:eastAsia="en-AU"/>
              </w:rPr>
            </w:pPr>
            <w:r w:rsidRPr="00795242">
              <w:rPr>
                <w:rFonts w:ascii="Arial" w:eastAsia="Times New Roman" w:hAnsi="Arial" w:cs="Arial"/>
                <w:b/>
                <w:color w:val="000080"/>
                <w:sz w:val="20"/>
                <w:szCs w:val="20"/>
                <w:highlight w:val="yellow"/>
                <w:lang w:val="en-AU" w:eastAsia="en-AU"/>
              </w:rPr>
              <w:t>9</w:t>
            </w:r>
          </w:p>
        </w:tc>
        <w:tc>
          <w:tcPr>
            <w:tcW w:w="672"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80"/>
                <w:sz w:val="20"/>
                <w:szCs w:val="20"/>
                <w:highlight w:val="yellow"/>
                <w:lang w:val="en-AU" w:eastAsia="en-AU"/>
              </w:rPr>
            </w:pPr>
            <w:r w:rsidRPr="00795242">
              <w:rPr>
                <w:rFonts w:ascii="Arial" w:eastAsia="Times New Roman" w:hAnsi="Arial" w:cs="Arial"/>
                <w:b/>
                <w:color w:val="000080"/>
                <w:sz w:val="20"/>
                <w:szCs w:val="20"/>
                <w:highlight w:val="yellow"/>
                <w:lang w:val="en-AU" w:eastAsia="en-AU"/>
              </w:rPr>
              <w:t>621</w:t>
            </w:r>
          </w:p>
        </w:tc>
        <w:tc>
          <w:tcPr>
            <w:tcW w:w="1824"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80"/>
                <w:sz w:val="20"/>
                <w:szCs w:val="20"/>
                <w:highlight w:val="yellow"/>
                <w:lang w:val="en-AU" w:eastAsia="en-AU"/>
              </w:rPr>
            </w:pPr>
            <w:r w:rsidRPr="00795242">
              <w:rPr>
                <w:rFonts w:ascii="Arial" w:eastAsia="Times New Roman" w:hAnsi="Arial" w:cs="Arial"/>
                <w:b/>
                <w:color w:val="000080"/>
                <w:sz w:val="20"/>
                <w:szCs w:val="20"/>
                <w:highlight w:val="yellow"/>
                <w:lang w:val="en-AU" w:eastAsia="en-AU"/>
              </w:rPr>
              <w:t>$102,280,343.43</w:t>
            </w:r>
          </w:p>
        </w:tc>
        <w:tc>
          <w:tcPr>
            <w:tcW w:w="1276"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00"/>
                <w:sz w:val="20"/>
                <w:szCs w:val="20"/>
                <w:highlight w:val="yellow"/>
                <w:lang w:val="en-AU" w:eastAsia="en-AU"/>
              </w:rPr>
            </w:pPr>
            <w:r w:rsidRPr="00795242">
              <w:rPr>
                <w:rFonts w:ascii="Arial" w:eastAsia="Times New Roman" w:hAnsi="Arial" w:cs="Arial"/>
                <w:b/>
                <w:color w:val="000000"/>
                <w:sz w:val="20"/>
                <w:szCs w:val="20"/>
                <w:highlight w:val="yellow"/>
                <w:lang w:val="en-AU" w:eastAsia="en-AU"/>
              </w:rPr>
              <w:t>14,248</w:t>
            </w:r>
          </w:p>
        </w:tc>
        <w:tc>
          <w:tcPr>
            <w:tcW w:w="1350"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00"/>
                <w:sz w:val="20"/>
                <w:szCs w:val="20"/>
                <w:highlight w:val="yellow"/>
                <w:lang w:val="en-AU" w:eastAsia="en-AU"/>
              </w:rPr>
            </w:pPr>
            <w:r w:rsidRPr="00795242">
              <w:rPr>
                <w:rFonts w:ascii="Arial" w:eastAsia="Times New Roman" w:hAnsi="Arial" w:cs="Arial"/>
                <w:b/>
                <w:color w:val="000000"/>
                <w:sz w:val="20"/>
                <w:szCs w:val="20"/>
                <w:highlight w:val="yellow"/>
                <w:lang w:val="en-AU" w:eastAsia="en-AU"/>
              </w:rPr>
              <w:t>$798</w:t>
            </w:r>
          </w:p>
        </w:tc>
        <w:tc>
          <w:tcPr>
            <w:tcW w:w="914" w:type="dxa"/>
            <w:tcBorders>
              <w:top w:val="nil"/>
              <w:left w:val="nil"/>
              <w:bottom w:val="nil"/>
              <w:right w:val="nil"/>
            </w:tcBorders>
            <w:shd w:val="clear" w:color="000000" w:fill="FFFF00"/>
            <w:noWrap/>
            <w:vAlign w:val="center"/>
            <w:hideMark/>
          </w:tcPr>
          <w:p w:rsidR="00795242" w:rsidRPr="00795242" w:rsidRDefault="00795242" w:rsidP="00460237">
            <w:pPr>
              <w:spacing w:before="60" w:after="60" w:line="280" w:lineRule="atLeast"/>
              <w:jc w:val="both"/>
              <w:rPr>
                <w:rFonts w:ascii="Arial" w:eastAsia="Times New Roman" w:hAnsi="Arial" w:cs="Arial"/>
                <w:b/>
                <w:color w:val="000000"/>
                <w:sz w:val="20"/>
                <w:szCs w:val="20"/>
                <w:lang w:val="en-AU" w:eastAsia="en-AU"/>
              </w:rPr>
            </w:pPr>
            <w:r w:rsidRPr="00795242">
              <w:rPr>
                <w:rFonts w:ascii="Arial" w:eastAsia="Times New Roman" w:hAnsi="Arial" w:cs="Arial"/>
                <w:b/>
                <w:color w:val="000000"/>
                <w:sz w:val="20"/>
                <w:szCs w:val="20"/>
                <w:highlight w:val="yellow"/>
                <w:lang w:val="en-AU" w:eastAsia="en-AU"/>
              </w:rPr>
              <w:t>4.84</w:t>
            </w:r>
          </w:p>
        </w:tc>
      </w:tr>
      <w:tr w:rsidR="00795242" w:rsidRPr="00795242" w:rsidTr="00460237">
        <w:trPr>
          <w:trHeight w:val="300"/>
        </w:trPr>
        <w:tc>
          <w:tcPr>
            <w:tcW w:w="1985"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Hume</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130,851</w:t>
            </w:r>
          </w:p>
        </w:tc>
        <w:tc>
          <w:tcPr>
            <w:tcW w:w="90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14</w:t>
            </w:r>
          </w:p>
        </w:tc>
        <w:tc>
          <w:tcPr>
            <w:tcW w:w="672"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762</w:t>
            </w:r>
          </w:p>
        </w:tc>
        <w:tc>
          <w:tcPr>
            <w:tcW w:w="182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$103,993,534.43</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9,346</w:t>
            </w:r>
          </w:p>
        </w:tc>
        <w:tc>
          <w:tcPr>
            <w:tcW w:w="1350"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$795</w:t>
            </w:r>
          </w:p>
        </w:tc>
        <w:tc>
          <w:tcPr>
            <w:tcW w:w="91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5.82</w:t>
            </w:r>
          </w:p>
        </w:tc>
      </w:tr>
      <w:tr w:rsidR="00795242" w:rsidRPr="00795242" w:rsidTr="00460237">
        <w:trPr>
          <w:trHeight w:val="300"/>
        </w:trPr>
        <w:tc>
          <w:tcPr>
            <w:tcW w:w="1985"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City of Maroondah</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84,958</w:t>
            </w:r>
          </w:p>
        </w:tc>
        <w:tc>
          <w:tcPr>
            <w:tcW w:w="90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10</w:t>
            </w:r>
          </w:p>
        </w:tc>
        <w:tc>
          <w:tcPr>
            <w:tcW w:w="672"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770</w:t>
            </w:r>
          </w:p>
        </w:tc>
        <w:tc>
          <w:tcPr>
            <w:tcW w:w="182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$66,782,903.16</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8,496</w:t>
            </w:r>
          </w:p>
        </w:tc>
        <w:tc>
          <w:tcPr>
            <w:tcW w:w="1350"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$786</w:t>
            </w:r>
          </w:p>
        </w:tc>
        <w:tc>
          <w:tcPr>
            <w:tcW w:w="91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9.06</w:t>
            </w:r>
          </w:p>
        </w:tc>
      </w:tr>
      <w:tr w:rsidR="00795242" w:rsidRPr="00795242" w:rsidTr="00460237">
        <w:trPr>
          <w:trHeight w:val="300"/>
        </w:trPr>
        <w:tc>
          <w:tcPr>
            <w:tcW w:w="1985"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rPr>
                <w:rFonts w:ascii="Arial" w:eastAsia="Times New Roman" w:hAnsi="Arial" w:cs="Arial"/>
                <w:color w:val="0070C0"/>
                <w:sz w:val="20"/>
                <w:szCs w:val="22"/>
                <w:lang w:val="en-AU" w:eastAsia="en-AU"/>
              </w:rPr>
            </w:pPr>
            <w:r w:rsidRPr="00795242">
              <w:rPr>
                <w:rFonts w:ascii="Arial" w:eastAsia="Times New Roman" w:hAnsi="Arial" w:cs="Arial"/>
                <w:color w:val="0070C0"/>
                <w:sz w:val="20"/>
                <w:szCs w:val="22"/>
                <w:lang w:val="en-AU" w:eastAsia="en-AU"/>
              </w:rPr>
              <w:t>Shire of Central Goldfields</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10,211</w:t>
            </w:r>
          </w:p>
        </w:tc>
        <w:tc>
          <w:tcPr>
            <w:tcW w:w="90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2</w:t>
            </w:r>
          </w:p>
        </w:tc>
        <w:tc>
          <w:tcPr>
            <w:tcW w:w="672"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96</w:t>
            </w:r>
          </w:p>
        </w:tc>
        <w:tc>
          <w:tcPr>
            <w:tcW w:w="182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80"/>
                <w:sz w:val="20"/>
                <w:szCs w:val="20"/>
                <w:lang w:val="en-AU" w:eastAsia="en-AU"/>
              </w:rPr>
            </w:pPr>
            <w:r w:rsidRPr="00795242">
              <w:rPr>
                <w:rFonts w:ascii="Arial" w:eastAsia="Times New Roman" w:hAnsi="Arial" w:cs="Arial"/>
                <w:color w:val="000080"/>
                <w:sz w:val="20"/>
                <w:szCs w:val="20"/>
                <w:lang w:val="en-AU" w:eastAsia="en-AU"/>
              </w:rPr>
              <w:t>$7,931,347.19</w:t>
            </w:r>
          </w:p>
        </w:tc>
        <w:tc>
          <w:tcPr>
            <w:tcW w:w="1276"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5,106</w:t>
            </w:r>
          </w:p>
        </w:tc>
        <w:tc>
          <w:tcPr>
            <w:tcW w:w="1350"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$777</w:t>
            </w:r>
          </w:p>
        </w:tc>
        <w:tc>
          <w:tcPr>
            <w:tcW w:w="914" w:type="dxa"/>
            <w:tcBorders>
              <w:top w:val="nil"/>
              <w:left w:val="nil"/>
              <w:bottom w:val="nil"/>
              <w:right w:val="nil"/>
            </w:tcBorders>
            <w:shd w:val="clear" w:color="000000" w:fill="EFEFEF"/>
            <w:noWrap/>
            <w:vAlign w:val="center"/>
            <w:hideMark/>
          </w:tcPr>
          <w:p w:rsidR="00795242" w:rsidRPr="00795242" w:rsidRDefault="00795242" w:rsidP="00460237">
            <w:pPr>
              <w:spacing w:before="60" w:after="60" w:line="280" w:lineRule="atLeast"/>
              <w:jc w:val="both"/>
              <w:rPr>
                <w:rFonts w:ascii="Arial" w:eastAsia="Times New Roman" w:hAnsi="Arial" w:cs="Arial"/>
                <w:color w:val="000000"/>
                <w:sz w:val="20"/>
                <w:szCs w:val="20"/>
                <w:lang w:val="en-AU" w:eastAsia="en-AU"/>
              </w:rPr>
            </w:pPr>
            <w:r w:rsidRPr="00795242">
              <w:rPr>
                <w:rFonts w:ascii="Arial" w:eastAsia="Times New Roman" w:hAnsi="Arial" w:cs="Arial"/>
                <w:color w:val="000000"/>
                <w:sz w:val="20"/>
                <w:szCs w:val="20"/>
                <w:lang w:val="en-AU" w:eastAsia="en-AU"/>
              </w:rPr>
              <w:t>9.4</w:t>
            </w:r>
          </w:p>
        </w:tc>
      </w:tr>
    </w:tbl>
    <w:p w:rsidR="002945EA" w:rsidRDefault="002945EA" w:rsidP="00795242">
      <w:pPr>
        <w:spacing w:line="280" w:lineRule="atLeast"/>
        <w:contextualSpacing/>
        <w:jc w:val="both"/>
        <w:rPr>
          <w:rFonts w:ascii="Arial" w:eastAsia="Times New Roman" w:hAnsi="Arial" w:cs="Arial"/>
          <w:bCs/>
          <w:sz w:val="18"/>
          <w:szCs w:val="22"/>
          <w:lang w:val="en-AU" w:eastAsia="en-AU"/>
        </w:rPr>
      </w:pPr>
    </w:p>
    <w:p w:rsidR="00795242" w:rsidRPr="00795242" w:rsidRDefault="00795242" w:rsidP="00795242">
      <w:pPr>
        <w:spacing w:line="280" w:lineRule="atLeast"/>
        <w:contextualSpacing/>
        <w:jc w:val="both"/>
        <w:rPr>
          <w:rFonts w:ascii="Arial" w:eastAsia="Times New Roman" w:hAnsi="Arial" w:cs="Arial"/>
          <w:bCs/>
          <w:sz w:val="20"/>
          <w:szCs w:val="22"/>
          <w:lang w:val="en-AU" w:eastAsia="en-AU"/>
        </w:rPr>
      </w:pPr>
      <w:r w:rsidRPr="00795242">
        <w:rPr>
          <w:rFonts w:ascii="Arial" w:eastAsia="Times New Roman" w:hAnsi="Arial" w:cs="Arial"/>
          <w:bCs/>
          <w:sz w:val="20"/>
          <w:szCs w:val="22"/>
          <w:lang w:val="en-AU" w:eastAsia="en-AU"/>
        </w:rPr>
        <w:t>(Source: Victorian Commission for Gambling and Liquor Regulation, 2012)</w:t>
      </w:r>
    </w:p>
    <w:p w:rsidR="00795242" w:rsidRPr="00795242" w:rsidRDefault="00795242" w:rsidP="00795242">
      <w:pPr>
        <w:spacing w:line="280" w:lineRule="atLeast"/>
        <w:contextualSpacing/>
        <w:rPr>
          <w:rFonts w:ascii="Arial" w:eastAsia="Times New Roman" w:hAnsi="Arial" w:cs="Arial"/>
          <w:b/>
          <w:bCs/>
          <w:color w:val="000080"/>
          <w:sz w:val="22"/>
          <w:szCs w:val="22"/>
          <w:lang w:val="en-AU"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2"/>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0"/>
          <w:szCs w:val="22"/>
          <w:lang w:val="en-GB" w:eastAsia="en-AU"/>
        </w:rPr>
      </w:pPr>
      <w:r w:rsidRPr="00795242">
        <w:rPr>
          <w:rFonts w:ascii="Arial" w:eastAsia="Times New Roman" w:hAnsi="Arial" w:cs="Arial"/>
          <w:b/>
          <w:color w:val="0070C0"/>
          <w:sz w:val="20"/>
          <w:szCs w:val="22"/>
          <w:lang w:val="en-GB" w:eastAsia="en-AU"/>
        </w:rPr>
        <w:t xml:space="preserve">Appendix 2: POKER MACHINES (EGM) EXPENDITURE CITY OF WHITTLESEA BY VENUE 2012-13 –NET </w:t>
      </w:r>
    </w:p>
    <w:p w:rsidR="00795242" w:rsidRDefault="00795242" w:rsidP="00795242">
      <w:pPr>
        <w:spacing w:line="280" w:lineRule="atLeast"/>
        <w:contextualSpacing/>
        <w:jc w:val="both"/>
        <w:rPr>
          <w:rFonts w:ascii="Arial" w:eastAsia="Times New Roman" w:hAnsi="Arial" w:cs="Arial"/>
          <w:b/>
          <w:bCs/>
          <w:sz w:val="22"/>
          <w:szCs w:val="22"/>
          <w:u w:val="single"/>
          <w:lang w:val="en-AU" w:eastAsia="en-AU"/>
        </w:rPr>
      </w:pPr>
    </w:p>
    <w:p w:rsidR="00AE6203" w:rsidRPr="00795242" w:rsidRDefault="00AE6203" w:rsidP="00795242">
      <w:pPr>
        <w:spacing w:line="280" w:lineRule="atLeast"/>
        <w:contextualSpacing/>
        <w:jc w:val="both"/>
        <w:rPr>
          <w:rFonts w:ascii="Arial" w:eastAsia="Times New Roman" w:hAnsi="Arial" w:cs="Arial"/>
          <w:b/>
          <w:bCs/>
          <w:sz w:val="22"/>
          <w:szCs w:val="22"/>
          <w:u w:val="single"/>
          <w:lang w:val="en-AU" w:eastAsia="en-AU"/>
        </w:rPr>
      </w:pPr>
    </w:p>
    <w:p w:rsidR="00795242" w:rsidRPr="007715AC" w:rsidRDefault="00795242" w:rsidP="00795242">
      <w:pPr>
        <w:spacing w:line="280" w:lineRule="atLeast"/>
        <w:contextualSpacing/>
        <w:jc w:val="both"/>
        <w:rPr>
          <w:rFonts w:ascii="Arial" w:eastAsia="Times New Roman" w:hAnsi="Arial" w:cs="Arial"/>
          <w:b/>
          <w:bCs/>
          <w:sz w:val="22"/>
          <w:szCs w:val="22"/>
          <w:u w:val="single"/>
          <w:lang w:val="en-AU" w:eastAsia="en-AU"/>
        </w:rPr>
      </w:pPr>
      <w:r w:rsidRPr="007715AC">
        <w:rPr>
          <w:rFonts w:ascii="Arial" w:eastAsia="Times New Roman" w:hAnsi="Arial" w:cs="Arial"/>
          <w:b/>
          <w:bCs/>
          <w:sz w:val="22"/>
          <w:szCs w:val="22"/>
          <w:u w:val="single"/>
          <w:lang w:val="en-AU" w:eastAsia="en-AU"/>
        </w:rPr>
        <w:t>(</w:t>
      </w:r>
      <w:r w:rsidR="007715AC" w:rsidRPr="007715AC">
        <w:rPr>
          <w:rFonts w:ascii="Arial" w:eastAsia="Times New Roman" w:hAnsi="Arial" w:cs="Arial"/>
          <w:b/>
          <w:bCs/>
          <w:sz w:val="22"/>
          <w:szCs w:val="22"/>
          <w:u w:val="single"/>
          <w:lang w:val="en-AU" w:eastAsia="en-AU"/>
        </w:rPr>
        <w:t>Venues highlighted in yellow are in shopping precincts)</w:t>
      </w:r>
    </w:p>
    <w:p w:rsidR="00AE6203" w:rsidRPr="00795242" w:rsidRDefault="00AE6203" w:rsidP="00795242">
      <w:pPr>
        <w:spacing w:line="280" w:lineRule="atLeast"/>
        <w:contextualSpacing/>
        <w:jc w:val="both"/>
        <w:rPr>
          <w:rFonts w:ascii="Arial" w:eastAsia="Times New Roman" w:hAnsi="Arial" w:cs="Arial"/>
          <w:b/>
          <w:sz w:val="22"/>
          <w:szCs w:val="22"/>
          <w:u w:val="single"/>
          <w:lang w:val="en-AU" w:eastAsia="en-AU"/>
        </w:rPr>
      </w:pPr>
    </w:p>
    <w:tbl>
      <w:tblPr>
        <w:tblW w:w="9843" w:type="dxa"/>
        <w:tblBorders>
          <w:top w:val="single" w:sz="8" w:space="0" w:color="000000"/>
          <w:bottom w:val="single" w:sz="8" w:space="0" w:color="000000"/>
        </w:tblBorders>
        <w:tblLayout w:type="fixed"/>
        <w:tblLook w:val="04A0" w:firstRow="1" w:lastRow="0" w:firstColumn="1" w:lastColumn="0" w:noHBand="0" w:noVBand="1"/>
      </w:tblPr>
      <w:tblGrid>
        <w:gridCol w:w="2675"/>
        <w:gridCol w:w="3670"/>
        <w:gridCol w:w="1276"/>
        <w:gridCol w:w="2222"/>
      </w:tblGrid>
      <w:tr w:rsidR="00AE6203" w:rsidRPr="00795242" w:rsidTr="00AE6203">
        <w:trPr>
          <w:trHeight w:val="845"/>
        </w:trPr>
        <w:tc>
          <w:tcPr>
            <w:tcW w:w="2675" w:type="dxa"/>
            <w:tcBorders>
              <w:top w:val="single" w:sz="8" w:space="0" w:color="000000"/>
              <w:bottom w:val="single" w:sz="8" w:space="0" w:color="000000"/>
            </w:tcBorders>
            <w:shd w:val="clear" w:color="auto" w:fill="auto"/>
            <w:vAlign w:val="center"/>
            <w:hideMark/>
          </w:tcPr>
          <w:p w:rsidR="00795242" w:rsidRPr="00795242" w:rsidRDefault="00795242" w:rsidP="00AE6203">
            <w:pPr>
              <w:spacing w:line="280" w:lineRule="atLeast"/>
              <w:contextualSpacing/>
              <w:jc w:val="center"/>
              <w:rPr>
                <w:rFonts w:ascii="Arial" w:eastAsia="Times New Roman" w:hAnsi="Arial" w:cs="Arial"/>
                <w:b/>
                <w:bCs/>
                <w:sz w:val="22"/>
                <w:szCs w:val="22"/>
                <w:lang w:val="en-AU" w:eastAsia="en-AU"/>
              </w:rPr>
            </w:pPr>
            <w:r w:rsidRPr="00795242">
              <w:rPr>
                <w:rFonts w:ascii="Arial" w:eastAsia="Times New Roman" w:hAnsi="Arial" w:cs="Arial"/>
                <w:b/>
                <w:bCs/>
                <w:sz w:val="22"/>
                <w:szCs w:val="22"/>
                <w:lang w:val="en-AU" w:eastAsia="en-AU"/>
              </w:rPr>
              <w:t>Address</w:t>
            </w:r>
          </w:p>
        </w:tc>
        <w:tc>
          <w:tcPr>
            <w:tcW w:w="3670" w:type="dxa"/>
            <w:tcBorders>
              <w:top w:val="single" w:sz="8" w:space="0" w:color="000000"/>
              <w:bottom w:val="single" w:sz="8" w:space="0" w:color="000000"/>
            </w:tcBorders>
            <w:shd w:val="clear" w:color="auto" w:fill="auto"/>
            <w:vAlign w:val="center"/>
            <w:hideMark/>
          </w:tcPr>
          <w:p w:rsidR="00795242" w:rsidRPr="00795242" w:rsidRDefault="00795242" w:rsidP="00AE6203">
            <w:pPr>
              <w:spacing w:line="280" w:lineRule="atLeast"/>
              <w:contextualSpacing/>
              <w:jc w:val="center"/>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Attached Entitlements</w:t>
            </w:r>
          </w:p>
        </w:tc>
        <w:tc>
          <w:tcPr>
            <w:tcW w:w="1276" w:type="dxa"/>
            <w:tcBorders>
              <w:top w:val="single" w:sz="8" w:space="0" w:color="000000"/>
              <w:bottom w:val="single" w:sz="8" w:space="0" w:color="000000"/>
            </w:tcBorders>
            <w:shd w:val="clear" w:color="auto" w:fill="auto"/>
            <w:vAlign w:val="center"/>
            <w:hideMark/>
          </w:tcPr>
          <w:p w:rsidR="00795242" w:rsidRPr="00795242" w:rsidRDefault="00795242" w:rsidP="00AE6203">
            <w:pPr>
              <w:spacing w:line="280" w:lineRule="atLeast"/>
              <w:contextualSpacing/>
              <w:jc w:val="center"/>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Licensed EGM's</w:t>
            </w:r>
          </w:p>
        </w:tc>
        <w:tc>
          <w:tcPr>
            <w:tcW w:w="2222" w:type="dxa"/>
            <w:tcBorders>
              <w:top w:val="single" w:sz="8" w:space="0" w:color="000000"/>
              <w:bottom w:val="single" w:sz="8" w:space="0" w:color="000000"/>
            </w:tcBorders>
            <w:shd w:val="clear" w:color="auto" w:fill="auto"/>
            <w:vAlign w:val="center"/>
            <w:hideMark/>
          </w:tcPr>
          <w:p w:rsidR="00795242" w:rsidRPr="00795242" w:rsidRDefault="00795242" w:rsidP="00AE6203">
            <w:pPr>
              <w:spacing w:line="280" w:lineRule="atLeast"/>
              <w:contextualSpacing/>
              <w:jc w:val="center"/>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Expenditure</w:t>
            </w:r>
          </w:p>
          <w:p w:rsidR="00795242" w:rsidRPr="00795242" w:rsidRDefault="00795242" w:rsidP="00AE6203">
            <w:pPr>
              <w:spacing w:line="280" w:lineRule="atLeast"/>
              <w:contextualSpacing/>
              <w:jc w:val="center"/>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18"/>
                <w:szCs w:val="22"/>
                <w:lang w:val="en-AU" w:eastAsia="en-AU"/>
              </w:rPr>
              <w:t>(July 2012- June 2013)</w:t>
            </w:r>
          </w:p>
        </w:tc>
      </w:tr>
      <w:tr w:rsidR="00AE6203" w:rsidRPr="00795242" w:rsidTr="00AE6203">
        <w:trPr>
          <w:trHeight w:val="845"/>
        </w:trPr>
        <w:tc>
          <w:tcPr>
            <w:tcW w:w="2675" w:type="dxa"/>
            <w:tcBorders>
              <w:top w:val="single" w:sz="8" w:space="0" w:color="000000"/>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highlight w:val="yellow"/>
                <w:lang w:val="en-AU" w:eastAsia="en-AU"/>
              </w:rPr>
            </w:pPr>
            <w:r w:rsidRPr="00795242">
              <w:rPr>
                <w:rFonts w:ascii="Arial" w:eastAsia="Times New Roman" w:hAnsi="Arial" w:cs="Arial"/>
                <w:b/>
                <w:bCs/>
                <w:color w:val="0070C0"/>
                <w:sz w:val="20"/>
                <w:szCs w:val="22"/>
                <w:highlight w:val="yellow"/>
                <w:lang w:val="en-AU" w:eastAsia="en-AU"/>
              </w:rPr>
              <w:t>EPPING PLAZA HOTEL</w:t>
            </w:r>
          </w:p>
        </w:tc>
        <w:tc>
          <w:tcPr>
            <w:tcW w:w="3670" w:type="dxa"/>
            <w:tcBorders>
              <w:top w:val="single" w:sz="8" w:space="0" w:color="000000"/>
              <w:left w:val="nil"/>
              <w:bottom w:val="nil"/>
              <w:right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EPPING PLAZA SHOPPING CENTRE</w:t>
            </w:r>
          </w:p>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EPPING</w:t>
            </w:r>
          </w:p>
        </w:tc>
        <w:tc>
          <w:tcPr>
            <w:tcW w:w="1276" w:type="dxa"/>
            <w:tcBorders>
              <w:top w:val="single" w:sz="8" w:space="0" w:color="000000"/>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100</w:t>
            </w:r>
          </w:p>
        </w:tc>
        <w:tc>
          <w:tcPr>
            <w:tcW w:w="2222" w:type="dxa"/>
            <w:tcBorders>
              <w:top w:val="single" w:sz="8" w:space="0" w:color="000000"/>
              <w:left w:val="nil"/>
              <w:bottom w:val="nil"/>
              <w:right w:val="nil"/>
            </w:tcBorders>
            <w:shd w:val="clear" w:color="auto" w:fill="FFFF00"/>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$21,033,163.42</w:t>
            </w:r>
          </w:p>
        </w:tc>
      </w:tr>
      <w:tr w:rsidR="00AE6203" w:rsidRPr="00795242" w:rsidTr="00AE6203">
        <w:trPr>
          <w:trHeight w:val="845"/>
        </w:trPr>
        <w:tc>
          <w:tcPr>
            <w:tcW w:w="2675" w:type="dxa"/>
            <w:tcBorders>
              <w:top w:val="nil"/>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highlight w:val="yellow"/>
                <w:lang w:val="en-AU" w:eastAsia="en-AU"/>
              </w:rPr>
            </w:pPr>
            <w:r w:rsidRPr="00795242">
              <w:rPr>
                <w:rFonts w:ascii="Arial" w:eastAsia="Times New Roman" w:hAnsi="Arial" w:cs="Arial"/>
                <w:b/>
                <w:bCs/>
                <w:color w:val="0070C0"/>
                <w:sz w:val="20"/>
                <w:szCs w:val="22"/>
                <w:highlight w:val="yellow"/>
                <w:lang w:val="en-AU" w:eastAsia="en-AU"/>
              </w:rPr>
              <w:t>PLOUGH HOTEL</w:t>
            </w:r>
          </w:p>
        </w:tc>
        <w:tc>
          <w:tcPr>
            <w:tcW w:w="3670" w:type="dxa"/>
            <w:tcBorders>
              <w:top w:val="nil"/>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STABLES S.C., CHILDS ROAD</w:t>
            </w:r>
            <w:r w:rsidRPr="00795242">
              <w:rPr>
                <w:rFonts w:ascii="Arial" w:eastAsia="Times New Roman" w:hAnsi="Arial" w:cs="Arial"/>
                <w:color w:val="000000"/>
                <w:sz w:val="20"/>
                <w:szCs w:val="22"/>
                <w:highlight w:val="yellow"/>
                <w:lang w:val="en-AU" w:eastAsia="en-AU"/>
              </w:rPr>
              <w:br/>
              <w:t xml:space="preserve">MILL PARK </w:t>
            </w:r>
          </w:p>
        </w:tc>
        <w:tc>
          <w:tcPr>
            <w:tcW w:w="1276" w:type="dxa"/>
            <w:tcBorders>
              <w:top w:val="nil"/>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85</w:t>
            </w:r>
          </w:p>
        </w:tc>
        <w:tc>
          <w:tcPr>
            <w:tcW w:w="2222" w:type="dxa"/>
            <w:tcBorders>
              <w:top w:val="nil"/>
              <w:bottom w:val="nil"/>
            </w:tcBorders>
            <w:shd w:val="clear" w:color="auto" w:fill="FFFF00"/>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$18,570,386.17</w:t>
            </w:r>
          </w:p>
        </w:tc>
      </w:tr>
      <w:tr w:rsidR="00AE6203" w:rsidRPr="00795242" w:rsidTr="00AE6203">
        <w:trPr>
          <w:trHeight w:val="845"/>
        </w:trPr>
        <w:tc>
          <w:tcPr>
            <w:tcW w:w="2675" w:type="dxa"/>
            <w:tcBorders>
              <w:top w:val="nil"/>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highlight w:val="yellow"/>
                <w:lang w:val="en-AU" w:eastAsia="en-AU"/>
              </w:rPr>
            </w:pPr>
            <w:r w:rsidRPr="00795242">
              <w:rPr>
                <w:rFonts w:ascii="Arial" w:eastAsia="Times New Roman" w:hAnsi="Arial" w:cs="Arial"/>
                <w:b/>
                <w:bCs/>
                <w:color w:val="0070C0"/>
                <w:sz w:val="20"/>
                <w:szCs w:val="22"/>
                <w:highlight w:val="yellow"/>
                <w:lang w:val="en-AU" w:eastAsia="en-AU"/>
              </w:rPr>
              <w:t>BUNDOORA TAVERNER</w:t>
            </w:r>
          </w:p>
        </w:tc>
        <w:tc>
          <w:tcPr>
            <w:tcW w:w="3670" w:type="dxa"/>
            <w:tcBorders>
              <w:top w:val="nil"/>
              <w:left w:val="nil"/>
              <w:bottom w:val="nil"/>
              <w:right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BUNDOORA SQUARE, PLENTY RD</w:t>
            </w:r>
            <w:r w:rsidRPr="00795242">
              <w:rPr>
                <w:rFonts w:ascii="Arial" w:eastAsia="Times New Roman" w:hAnsi="Arial" w:cs="Arial"/>
                <w:color w:val="000000"/>
                <w:sz w:val="20"/>
                <w:szCs w:val="22"/>
                <w:highlight w:val="yellow"/>
                <w:lang w:val="en-AU" w:eastAsia="en-AU"/>
              </w:rPr>
              <w:br/>
              <w:t xml:space="preserve">BUNDOORA </w:t>
            </w:r>
          </w:p>
        </w:tc>
        <w:tc>
          <w:tcPr>
            <w:tcW w:w="1276" w:type="dxa"/>
            <w:tcBorders>
              <w:top w:val="nil"/>
              <w:bottom w:val="nil"/>
            </w:tcBorders>
            <w:shd w:val="clear" w:color="auto" w:fill="FFFF00"/>
            <w:hideMark/>
          </w:tcPr>
          <w:p w:rsidR="00795242" w:rsidRPr="00795242" w:rsidRDefault="00795242" w:rsidP="002945EA">
            <w:pPr>
              <w:spacing w:before="40" w:after="40" w:line="280" w:lineRule="atLeast"/>
              <w:jc w:val="center"/>
              <w:rPr>
                <w:rFonts w:ascii="Arial" w:eastAsia="Times New Roman" w:hAnsi="Arial" w:cs="Arial"/>
                <w:color w:val="000000"/>
                <w:sz w:val="20"/>
                <w:szCs w:val="22"/>
                <w:highlight w:val="yellow"/>
                <w:lang w:val="en-AU" w:eastAsia="en-AU"/>
              </w:rPr>
            </w:pPr>
            <w:r w:rsidRPr="00795242">
              <w:rPr>
                <w:rFonts w:ascii="Arial" w:eastAsia="Times New Roman" w:hAnsi="Arial" w:cs="Arial"/>
                <w:color w:val="000000"/>
                <w:sz w:val="20"/>
                <w:szCs w:val="22"/>
                <w:highlight w:val="yellow"/>
                <w:lang w:val="en-AU" w:eastAsia="en-AU"/>
              </w:rPr>
              <w:t>90</w:t>
            </w:r>
          </w:p>
        </w:tc>
        <w:tc>
          <w:tcPr>
            <w:tcW w:w="2222" w:type="dxa"/>
            <w:tcBorders>
              <w:top w:val="nil"/>
              <w:left w:val="nil"/>
              <w:bottom w:val="nil"/>
              <w:right w:val="nil"/>
            </w:tcBorders>
            <w:shd w:val="clear" w:color="auto" w:fill="FFFF00"/>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highlight w:val="yellow"/>
                <w:lang w:val="en-AU" w:eastAsia="en-AU"/>
              </w:rPr>
              <w:t>$17,937,769.98</w:t>
            </w:r>
          </w:p>
        </w:tc>
      </w:tr>
      <w:tr w:rsidR="00AE6203" w:rsidRPr="00795242" w:rsidTr="00AE6203">
        <w:trPr>
          <w:trHeight w:val="574"/>
        </w:trPr>
        <w:tc>
          <w:tcPr>
            <w:tcW w:w="2675" w:type="dxa"/>
            <w:tcBorders>
              <w:top w:val="nil"/>
            </w:tcBorders>
            <w:shd w:val="clear" w:color="auto" w:fill="auto"/>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EXCELSIOR HOTEL</w:t>
            </w:r>
          </w:p>
        </w:tc>
        <w:tc>
          <w:tcPr>
            <w:tcW w:w="3670" w:type="dxa"/>
            <w:tcBorders>
              <w:top w:val="nil"/>
            </w:tcBorders>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MAHONEY'S ROAD</w:t>
            </w:r>
            <w:r w:rsidRPr="00795242">
              <w:rPr>
                <w:rFonts w:ascii="Arial" w:eastAsia="Times New Roman" w:hAnsi="Arial" w:cs="Arial"/>
                <w:color w:val="000000"/>
                <w:sz w:val="20"/>
                <w:szCs w:val="22"/>
                <w:lang w:val="en-AU" w:eastAsia="en-AU"/>
              </w:rPr>
              <w:br/>
              <w:t>THOMASTOWN</w:t>
            </w:r>
          </w:p>
        </w:tc>
        <w:tc>
          <w:tcPr>
            <w:tcW w:w="1276" w:type="dxa"/>
            <w:tcBorders>
              <w:top w:val="nil"/>
            </w:tcBorders>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87</w:t>
            </w:r>
          </w:p>
        </w:tc>
        <w:tc>
          <w:tcPr>
            <w:tcW w:w="2222" w:type="dxa"/>
            <w:tcBorders>
              <w:top w:val="nil"/>
            </w:tcBorders>
            <w:shd w:val="clear" w:color="auto" w:fill="auto"/>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$14,720,594.98</w:t>
            </w:r>
          </w:p>
        </w:tc>
      </w:tr>
      <w:tr w:rsidR="00AE6203" w:rsidRPr="00795242" w:rsidTr="00AE6203">
        <w:trPr>
          <w:trHeight w:val="559"/>
        </w:trPr>
        <w:tc>
          <w:tcPr>
            <w:tcW w:w="2675"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EPPING HOTEL</w:t>
            </w:r>
          </w:p>
        </w:tc>
        <w:tc>
          <w:tcPr>
            <w:tcW w:w="3670" w:type="dxa"/>
            <w:tcBorders>
              <w:left w:val="nil"/>
              <w:right w:val="nil"/>
            </w:tcBorders>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HIGH STREET</w:t>
            </w:r>
            <w:r w:rsidRPr="00795242">
              <w:rPr>
                <w:rFonts w:ascii="Arial" w:eastAsia="Times New Roman" w:hAnsi="Arial" w:cs="Arial"/>
                <w:color w:val="000000"/>
                <w:sz w:val="20"/>
                <w:szCs w:val="22"/>
                <w:lang w:val="en-AU" w:eastAsia="en-AU"/>
              </w:rPr>
              <w:br/>
              <w:t>EPPING VIC</w:t>
            </w:r>
          </w:p>
        </w:tc>
        <w:tc>
          <w:tcPr>
            <w:tcW w:w="1276"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40</w:t>
            </w:r>
          </w:p>
        </w:tc>
        <w:tc>
          <w:tcPr>
            <w:tcW w:w="2222" w:type="dxa"/>
            <w:tcBorders>
              <w:left w:val="nil"/>
              <w:right w:val="nil"/>
            </w:tcBorders>
            <w:shd w:val="clear" w:color="auto" w:fill="C0C0C0"/>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$7,674,718.01</w:t>
            </w:r>
          </w:p>
        </w:tc>
      </w:tr>
      <w:tr w:rsidR="00AE6203" w:rsidRPr="00795242" w:rsidTr="00AE6203">
        <w:trPr>
          <w:trHeight w:val="559"/>
        </w:trPr>
        <w:tc>
          <w:tcPr>
            <w:tcW w:w="2675"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CASA D'ABRUZZO CLUB</w:t>
            </w:r>
          </w:p>
        </w:tc>
        <w:tc>
          <w:tcPr>
            <w:tcW w:w="3670"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O'HERNS ROAD</w:t>
            </w:r>
            <w:r w:rsidRPr="00795242">
              <w:rPr>
                <w:rFonts w:ascii="Arial" w:eastAsia="Times New Roman" w:hAnsi="Arial" w:cs="Arial"/>
                <w:color w:val="000000"/>
                <w:sz w:val="20"/>
                <w:szCs w:val="22"/>
                <w:lang w:val="en-AU" w:eastAsia="en-AU"/>
              </w:rPr>
              <w:br/>
              <w:t>EPPING VIC</w:t>
            </w:r>
          </w:p>
        </w:tc>
        <w:tc>
          <w:tcPr>
            <w:tcW w:w="1276"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75</w:t>
            </w:r>
          </w:p>
        </w:tc>
        <w:tc>
          <w:tcPr>
            <w:tcW w:w="2222" w:type="dxa"/>
            <w:shd w:val="clear" w:color="auto" w:fill="auto"/>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$5,359,977.00</w:t>
            </w:r>
          </w:p>
        </w:tc>
      </w:tr>
      <w:tr w:rsidR="00AE6203" w:rsidRPr="00795242" w:rsidTr="00AE6203">
        <w:trPr>
          <w:trHeight w:val="574"/>
        </w:trPr>
        <w:tc>
          <w:tcPr>
            <w:tcW w:w="2675"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EPPING RSL</w:t>
            </w:r>
          </w:p>
        </w:tc>
        <w:tc>
          <w:tcPr>
            <w:tcW w:w="3670" w:type="dxa"/>
            <w:tcBorders>
              <w:left w:val="nil"/>
              <w:right w:val="nil"/>
            </w:tcBorders>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HARVEST HOME ROAD</w:t>
            </w:r>
            <w:r w:rsidRPr="00795242">
              <w:rPr>
                <w:rFonts w:ascii="Arial" w:eastAsia="Times New Roman" w:hAnsi="Arial" w:cs="Arial"/>
                <w:color w:val="000000"/>
                <w:sz w:val="20"/>
                <w:szCs w:val="22"/>
                <w:lang w:val="en-AU" w:eastAsia="en-AU"/>
              </w:rPr>
              <w:br/>
              <w:t>EPPING</w:t>
            </w:r>
          </w:p>
        </w:tc>
        <w:tc>
          <w:tcPr>
            <w:tcW w:w="1276"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45</w:t>
            </w:r>
          </w:p>
        </w:tc>
        <w:tc>
          <w:tcPr>
            <w:tcW w:w="2222" w:type="dxa"/>
            <w:tcBorders>
              <w:left w:val="nil"/>
              <w:right w:val="nil"/>
            </w:tcBorders>
            <w:shd w:val="clear" w:color="auto" w:fill="C0C0C0"/>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$2,856,608.21</w:t>
            </w:r>
          </w:p>
        </w:tc>
      </w:tr>
      <w:tr w:rsidR="00AE6203" w:rsidRPr="00795242" w:rsidTr="00AE6203">
        <w:trPr>
          <w:trHeight w:val="559"/>
        </w:trPr>
        <w:tc>
          <w:tcPr>
            <w:tcW w:w="2675"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WHITTLESEA BOWLS CLUB</w:t>
            </w:r>
          </w:p>
        </w:tc>
        <w:tc>
          <w:tcPr>
            <w:tcW w:w="3670"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CHURCH STREET</w:t>
            </w:r>
            <w:r w:rsidRPr="00795242">
              <w:rPr>
                <w:rFonts w:ascii="Arial" w:eastAsia="Times New Roman" w:hAnsi="Arial" w:cs="Arial"/>
                <w:color w:val="000000"/>
                <w:sz w:val="20"/>
                <w:szCs w:val="22"/>
                <w:lang w:val="en-AU" w:eastAsia="en-AU"/>
              </w:rPr>
              <w:br/>
              <w:t>WHITTLESEA</w:t>
            </w:r>
          </w:p>
        </w:tc>
        <w:tc>
          <w:tcPr>
            <w:tcW w:w="1276"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50</w:t>
            </w:r>
          </w:p>
        </w:tc>
        <w:tc>
          <w:tcPr>
            <w:tcW w:w="2222" w:type="dxa"/>
            <w:shd w:val="clear" w:color="auto" w:fill="auto"/>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$2,666,559.07</w:t>
            </w:r>
          </w:p>
        </w:tc>
      </w:tr>
      <w:tr w:rsidR="00AE6203" w:rsidRPr="00795242" w:rsidTr="00AE6203">
        <w:trPr>
          <w:trHeight w:val="559"/>
        </w:trPr>
        <w:tc>
          <w:tcPr>
            <w:tcW w:w="2675"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b/>
                <w:bCs/>
                <w:color w:val="0070C0"/>
                <w:sz w:val="20"/>
                <w:szCs w:val="22"/>
                <w:lang w:val="en-AU" w:eastAsia="en-AU"/>
              </w:rPr>
            </w:pPr>
            <w:r w:rsidRPr="00795242">
              <w:rPr>
                <w:rFonts w:ascii="Arial" w:eastAsia="Times New Roman" w:hAnsi="Arial" w:cs="Arial"/>
                <w:b/>
                <w:bCs/>
                <w:color w:val="0070C0"/>
                <w:sz w:val="20"/>
                <w:szCs w:val="22"/>
                <w:lang w:val="en-AU" w:eastAsia="en-AU"/>
              </w:rPr>
              <w:t>LALOR BOWLING CLUB</w:t>
            </w:r>
          </w:p>
        </w:tc>
        <w:tc>
          <w:tcPr>
            <w:tcW w:w="3670" w:type="dxa"/>
            <w:tcBorders>
              <w:left w:val="nil"/>
              <w:right w:val="nil"/>
            </w:tcBorders>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LALOR</w:t>
            </w:r>
          </w:p>
        </w:tc>
        <w:tc>
          <w:tcPr>
            <w:tcW w:w="1276" w:type="dxa"/>
            <w:shd w:val="clear" w:color="auto" w:fill="C0C0C0"/>
            <w:hideMark/>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36</w:t>
            </w:r>
          </w:p>
        </w:tc>
        <w:tc>
          <w:tcPr>
            <w:tcW w:w="2222" w:type="dxa"/>
            <w:tcBorders>
              <w:left w:val="nil"/>
              <w:right w:val="nil"/>
            </w:tcBorders>
            <w:shd w:val="clear" w:color="auto" w:fill="C0C0C0"/>
          </w:tcPr>
          <w:p w:rsidR="00795242" w:rsidRPr="00795242" w:rsidRDefault="00795242" w:rsidP="002945EA">
            <w:pPr>
              <w:spacing w:before="40" w:after="40" w:line="280" w:lineRule="atLeast"/>
              <w:jc w:val="center"/>
              <w:rPr>
                <w:rFonts w:ascii="Arial" w:eastAsia="Times New Roman" w:hAnsi="Arial" w:cs="Arial"/>
                <w:color w:val="000000"/>
                <w:sz w:val="20"/>
                <w:szCs w:val="22"/>
                <w:lang w:val="en-AU" w:eastAsia="en-AU"/>
              </w:rPr>
            </w:pPr>
            <w:r w:rsidRPr="00795242">
              <w:rPr>
                <w:rFonts w:ascii="Arial" w:eastAsia="Times New Roman" w:hAnsi="Arial" w:cs="Arial"/>
                <w:color w:val="000000"/>
                <w:sz w:val="20"/>
                <w:szCs w:val="22"/>
                <w:lang w:val="en-AU" w:eastAsia="en-AU"/>
              </w:rPr>
              <w:t>$2,419,148.04</w:t>
            </w:r>
          </w:p>
        </w:tc>
      </w:tr>
      <w:tr w:rsidR="00AE6203" w:rsidRPr="00795242" w:rsidTr="00AE6203">
        <w:trPr>
          <w:trHeight w:val="302"/>
        </w:trPr>
        <w:tc>
          <w:tcPr>
            <w:tcW w:w="2675" w:type="dxa"/>
            <w:shd w:val="clear" w:color="auto" w:fill="auto"/>
            <w:hideMark/>
          </w:tcPr>
          <w:p w:rsidR="00795242" w:rsidRPr="00AE6203" w:rsidRDefault="00795242" w:rsidP="002945EA">
            <w:pPr>
              <w:pStyle w:val="ListParagraph"/>
              <w:numPr>
                <w:ilvl w:val="0"/>
                <w:numId w:val="15"/>
              </w:numPr>
              <w:spacing w:before="40" w:after="40" w:line="280" w:lineRule="atLeast"/>
              <w:contextualSpacing w:val="0"/>
              <w:jc w:val="center"/>
              <w:rPr>
                <w:rFonts w:ascii="Arial" w:eastAsia="Times New Roman" w:hAnsi="Arial" w:cs="Arial"/>
                <w:b/>
                <w:bCs/>
                <w:i/>
                <w:noProof/>
                <w:color w:val="0070C0"/>
                <w:szCs w:val="22"/>
                <w:lang w:val="en-AU" w:eastAsia="en-AU"/>
              </w:rPr>
            </w:pPr>
            <w:r w:rsidRPr="00AE6203">
              <w:rPr>
                <w:rFonts w:ascii="Arial" w:eastAsia="Times New Roman" w:hAnsi="Arial" w:cs="Arial"/>
                <w:b/>
                <w:bCs/>
                <w:i/>
                <w:noProof/>
                <w:color w:val="0070C0"/>
                <w:szCs w:val="22"/>
                <w:lang w:val="en-AU" w:eastAsia="en-AU"/>
              </w:rPr>
              <w:t>T</w:t>
            </w:r>
            <w:r w:rsidR="00AE6203" w:rsidRPr="00AE6203">
              <w:rPr>
                <w:rFonts w:ascii="Arial" w:eastAsia="Times New Roman" w:hAnsi="Arial" w:cs="Arial"/>
                <w:b/>
                <w:bCs/>
                <w:i/>
                <w:noProof/>
                <w:color w:val="0070C0"/>
                <w:szCs w:val="22"/>
                <w:lang w:val="en-AU" w:eastAsia="en-AU"/>
              </w:rPr>
              <w:t>T</w:t>
            </w:r>
            <w:r w:rsidRPr="00AE6203">
              <w:rPr>
                <w:rFonts w:ascii="Arial" w:eastAsia="Times New Roman" w:hAnsi="Arial" w:cs="Arial"/>
                <w:b/>
                <w:bCs/>
                <w:i/>
                <w:noProof/>
                <w:color w:val="0070C0"/>
                <w:szCs w:val="22"/>
                <w:lang w:val="en-AU" w:eastAsia="en-AU"/>
              </w:rPr>
              <w:t>otal</w:t>
            </w:r>
          </w:p>
          <w:p w:rsidR="00AE6203" w:rsidRPr="00AE6203" w:rsidRDefault="00AE6203" w:rsidP="002945EA">
            <w:pPr>
              <w:pStyle w:val="ListParagraph"/>
              <w:numPr>
                <w:ilvl w:val="0"/>
                <w:numId w:val="15"/>
              </w:numPr>
              <w:spacing w:before="40" w:after="40" w:line="280" w:lineRule="atLeast"/>
              <w:contextualSpacing w:val="0"/>
              <w:jc w:val="center"/>
              <w:rPr>
                <w:rFonts w:ascii="Arial" w:eastAsia="Times New Roman" w:hAnsi="Arial" w:cs="Arial"/>
                <w:b/>
                <w:bCs/>
                <w:i/>
                <w:color w:val="0070C0"/>
                <w:szCs w:val="22"/>
                <w:lang w:val="en-AU" w:eastAsia="en-AU"/>
              </w:rPr>
            </w:pPr>
          </w:p>
        </w:tc>
        <w:tc>
          <w:tcPr>
            <w:tcW w:w="3670" w:type="dxa"/>
            <w:shd w:val="clear" w:color="auto" w:fill="auto"/>
            <w:hideMark/>
          </w:tcPr>
          <w:p w:rsidR="00795242" w:rsidRPr="00795242" w:rsidRDefault="00795242" w:rsidP="002945EA">
            <w:pPr>
              <w:spacing w:before="40" w:after="40" w:line="280" w:lineRule="atLeast"/>
              <w:jc w:val="center"/>
              <w:rPr>
                <w:rFonts w:ascii="Arial" w:eastAsia="Times New Roman" w:hAnsi="Arial" w:cs="Arial"/>
                <w:b/>
                <w:i/>
                <w:color w:val="002060"/>
                <w:szCs w:val="22"/>
                <w:u w:val="single"/>
                <w:lang w:val="en-AU" w:eastAsia="en-AU"/>
              </w:rPr>
            </w:pPr>
            <w:r w:rsidRPr="00795242">
              <w:rPr>
                <w:rFonts w:ascii="Arial" w:eastAsia="Times New Roman" w:hAnsi="Arial" w:cs="Arial"/>
                <w:b/>
                <w:i/>
                <w:noProof/>
                <w:color w:val="002060"/>
                <w:szCs w:val="22"/>
                <w:u w:val="single"/>
                <w:lang w:val="en-AU" w:eastAsia="en-AU"/>
              </w:rPr>
              <w:drawing>
                <wp:inline distT="0" distB="0" distL="0" distR="0" wp14:anchorId="73166F65" wp14:editId="3EBC5D64">
                  <wp:extent cx="9525" cy="152400"/>
                  <wp:effectExtent l="0" t="0" r="0" b="0"/>
                  <wp:docPr id="2" name="Picture 2" descr="http://www.vcgr.vic.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cgr.vic.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p>
        </w:tc>
        <w:tc>
          <w:tcPr>
            <w:tcW w:w="1276" w:type="dxa"/>
            <w:shd w:val="clear" w:color="auto" w:fill="auto"/>
            <w:hideMark/>
          </w:tcPr>
          <w:p w:rsidR="00AE6203" w:rsidRPr="00AE6203" w:rsidRDefault="00AE6203" w:rsidP="002945EA">
            <w:pPr>
              <w:spacing w:before="40" w:after="40" w:line="280" w:lineRule="atLeast"/>
              <w:jc w:val="center"/>
              <w:rPr>
                <w:rFonts w:ascii="Arial" w:eastAsia="Times New Roman" w:hAnsi="Arial" w:cs="Arial"/>
                <w:b/>
                <w:i/>
                <w:color w:val="002060"/>
                <w:szCs w:val="22"/>
                <w:u w:val="single"/>
                <w:lang w:val="en-AU" w:eastAsia="en-AU"/>
              </w:rPr>
            </w:pPr>
          </w:p>
          <w:p w:rsidR="00795242" w:rsidRPr="00795242" w:rsidRDefault="00795242" w:rsidP="002945EA">
            <w:pPr>
              <w:spacing w:before="40" w:after="40" w:line="280" w:lineRule="atLeast"/>
              <w:jc w:val="center"/>
              <w:rPr>
                <w:rFonts w:ascii="Arial" w:eastAsia="Times New Roman" w:hAnsi="Arial" w:cs="Arial"/>
                <w:b/>
                <w:i/>
                <w:color w:val="002060"/>
                <w:szCs w:val="22"/>
                <w:u w:val="single"/>
                <w:lang w:val="en-AU" w:eastAsia="en-AU"/>
              </w:rPr>
            </w:pPr>
            <w:r w:rsidRPr="00795242">
              <w:rPr>
                <w:rFonts w:ascii="Arial" w:eastAsia="Times New Roman" w:hAnsi="Arial" w:cs="Arial"/>
                <w:b/>
                <w:i/>
                <w:color w:val="002060"/>
                <w:szCs w:val="22"/>
                <w:u w:val="single"/>
                <w:lang w:val="en-AU" w:eastAsia="en-AU"/>
              </w:rPr>
              <w:t>608</w:t>
            </w:r>
          </w:p>
        </w:tc>
        <w:tc>
          <w:tcPr>
            <w:tcW w:w="2222" w:type="dxa"/>
            <w:shd w:val="clear" w:color="auto" w:fill="auto"/>
            <w:hideMark/>
          </w:tcPr>
          <w:p w:rsidR="00AE6203" w:rsidRPr="00AE6203" w:rsidRDefault="00AE6203" w:rsidP="002945EA">
            <w:pPr>
              <w:spacing w:before="40" w:after="40" w:line="280" w:lineRule="atLeast"/>
              <w:jc w:val="center"/>
              <w:rPr>
                <w:rFonts w:ascii="Arial" w:eastAsia="Times New Roman" w:hAnsi="Arial" w:cs="Arial"/>
                <w:b/>
                <w:i/>
                <w:color w:val="002060"/>
                <w:szCs w:val="22"/>
                <w:u w:val="single"/>
                <w:lang w:val="en-AU" w:eastAsia="en-AU"/>
              </w:rPr>
            </w:pPr>
          </w:p>
          <w:p w:rsidR="00795242" w:rsidRPr="00795242" w:rsidRDefault="00795242" w:rsidP="002945EA">
            <w:pPr>
              <w:spacing w:before="40" w:after="40" w:line="280" w:lineRule="atLeast"/>
              <w:jc w:val="center"/>
              <w:rPr>
                <w:rFonts w:ascii="Arial" w:eastAsia="Times New Roman" w:hAnsi="Arial" w:cs="Arial"/>
                <w:b/>
                <w:i/>
                <w:color w:val="002060"/>
                <w:szCs w:val="22"/>
                <w:u w:val="single"/>
                <w:lang w:val="en-AU" w:eastAsia="en-AU"/>
              </w:rPr>
            </w:pPr>
            <w:r w:rsidRPr="00795242">
              <w:rPr>
                <w:rFonts w:ascii="Arial" w:eastAsia="Times New Roman" w:hAnsi="Arial" w:cs="Arial"/>
                <w:b/>
                <w:i/>
                <w:color w:val="002060"/>
                <w:szCs w:val="22"/>
                <w:u w:val="single"/>
                <w:lang w:val="en-AU" w:eastAsia="en-AU"/>
              </w:rPr>
              <w:t>$93,238,924.88</w:t>
            </w:r>
          </w:p>
        </w:tc>
      </w:tr>
    </w:tbl>
    <w:p w:rsidR="00795242" w:rsidRPr="00795242" w:rsidRDefault="00795242" w:rsidP="00795242">
      <w:pPr>
        <w:spacing w:line="280" w:lineRule="atLeast"/>
        <w:contextualSpacing/>
        <w:rPr>
          <w:rFonts w:ascii="Arial" w:eastAsia="Calibri" w:hAnsi="Arial" w:cs="Arial"/>
          <w:sz w:val="22"/>
          <w:szCs w:val="22"/>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AE6203" w:rsidRDefault="00AE6203" w:rsidP="00795242">
      <w:pPr>
        <w:spacing w:line="280" w:lineRule="atLeast"/>
        <w:contextualSpacing/>
        <w:jc w:val="both"/>
        <w:rPr>
          <w:rFonts w:ascii="Arial" w:eastAsia="Times New Roman" w:hAnsi="Arial" w:cs="Arial"/>
          <w:b/>
          <w:color w:val="0070C0"/>
          <w:sz w:val="20"/>
          <w:szCs w:val="22"/>
          <w:lang w:val="en-GB" w:eastAsia="en-AU"/>
        </w:rPr>
      </w:pPr>
    </w:p>
    <w:p w:rsidR="00795242" w:rsidRPr="00795242" w:rsidRDefault="00795242" w:rsidP="00795242">
      <w:pPr>
        <w:spacing w:line="280" w:lineRule="atLeast"/>
        <w:contextualSpacing/>
        <w:jc w:val="both"/>
        <w:rPr>
          <w:rFonts w:ascii="Arial" w:eastAsia="Times New Roman" w:hAnsi="Arial" w:cs="Arial"/>
          <w:b/>
          <w:color w:val="0070C0"/>
          <w:sz w:val="20"/>
          <w:szCs w:val="22"/>
          <w:lang w:val="en-GB" w:eastAsia="en-AU"/>
        </w:rPr>
      </w:pPr>
      <w:r w:rsidRPr="00795242">
        <w:rPr>
          <w:rFonts w:ascii="Arial" w:eastAsia="Times New Roman" w:hAnsi="Arial" w:cs="Arial"/>
          <w:b/>
          <w:color w:val="0070C0"/>
          <w:sz w:val="20"/>
          <w:szCs w:val="22"/>
          <w:lang w:val="en-GB" w:eastAsia="en-AU"/>
        </w:rPr>
        <w:t>Appendix 3: TOP 10 VENUES BY EXPENDITURE 2012-13 / 2011-12 IN VICTORIA</w:t>
      </w:r>
    </w:p>
    <w:p w:rsidR="00795242" w:rsidRPr="00795242" w:rsidRDefault="00795242" w:rsidP="00795242">
      <w:pPr>
        <w:spacing w:line="280" w:lineRule="atLeast"/>
        <w:contextualSpacing/>
        <w:rPr>
          <w:rFonts w:ascii="Arial" w:eastAsia="Times New Roman" w:hAnsi="Arial" w:cs="Arial"/>
          <w:bCs/>
          <w:color w:val="000080"/>
          <w:sz w:val="22"/>
          <w:szCs w:val="22"/>
          <w:lang w:val="en-AU" w:eastAsia="en-AU"/>
        </w:rPr>
      </w:pPr>
    </w:p>
    <w:p w:rsidR="00795242" w:rsidRDefault="00795242" w:rsidP="00795242">
      <w:pPr>
        <w:spacing w:line="280" w:lineRule="atLeast"/>
        <w:contextualSpacing/>
        <w:rPr>
          <w:rFonts w:ascii="Arial" w:eastAsia="Calibri" w:hAnsi="Arial" w:cs="Arial"/>
          <w:b/>
          <w:bCs/>
          <w:color w:val="000080"/>
          <w:sz w:val="22"/>
          <w:szCs w:val="22"/>
          <w:lang w:val="en-AU"/>
        </w:rPr>
      </w:pPr>
      <w:r w:rsidRPr="00795242">
        <w:rPr>
          <w:rFonts w:ascii="Arial" w:eastAsia="Calibri" w:hAnsi="Arial" w:cs="Arial"/>
          <w:b/>
          <w:bCs/>
          <w:color w:val="000080"/>
          <w:sz w:val="22"/>
          <w:szCs w:val="22"/>
          <w:lang w:val="en-AU"/>
        </w:rPr>
        <w:t xml:space="preserve">(Venues </w:t>
      </w:r>
      <w:r w:rsidR="007715AC">
        <w:rPr>
          <w:rFonts w:ascii="Arial" w:eastAsia="Calibri" w:hAnsi="Arial" w:cs="Arial"/>
          <w:b/>
          <w:bCs/>
          <w:color w:val="000080"/>
          <w:sz w:val="22"/>
          <w:szCs w:val="22"/>
          <w:lang w:val="en-AU"/>
        </w:rPr>
        <w:t>h</w:t>
      </w:r>
      <w:r w:rsidR="007715AC" w:rsidRPr="00795242">
        <w:rPr>
          <w:rFonts w:ascii="Arial" w:eastAsia="Calibri" w:hAnsi="Arial" w:cs="Arial"/>
          <w:b/>
          <w:bCs/>
          <w:color w:val="000080"/>
          <w:sz w:val="22"/>
          <w:szCs w:val="22"/>
          <w:lang w:val="en-AU"/>
        </w:rPr>
        <w:t>ighlighted</w:t>
      </w:r>
      <w:r w:rsidR="007715AC">
        <w:rPr>
          <w:rFonts w:ascii="Arial" w:eastAsia="Calibri" w:hAnsi="Arial" w:cs="Arial"/>
          <w:b/>
          <w:bCs/>
          <w:color w:val="000080"/>
          <w:sz w:val="22"/>
          <w:szCs w:val="22"/>
          <w:lang w:val="en-AU"/>
        </w:rPr>
        <w:t xml:space="preserve"> in yellow </w:t>
      </w:r>
      <w:r w:rsidR="002945EA">
        <w:rPr>
          <w:rFonts w:ascii="Arial" w:eastAsia="Calibri" w:hAnsi="Arial" w:cs="Arial"/>
          <w:b/>
          <w:bCs/>
          <w:color w:val="000080"/>
          <w:sz w:val="22"/>
          <w:szCs w:val="22"/>
          <w:lang w:val="en-AU"/>
        </w:rPr>
        <w:t xml:space="preserve">are </w:t>
      </w:r>
      <w:r w:rsidRPr="00795242">
        <w:rPr>
          <w:rFonts w:ascii="Arial" w:eastAsia="Calibri" w:hAnsi="Arial" w:cs="Arial"/>
          <w:b/>
          <w:bCs/>
          <w:color w:val="000080"/>
          <w:sz w:val="22"/>
          <w:szCs w:val="22"/>
          <w:lang w:val="en-AU"/>
        </w:rPr>
        <w:t>in Whittlesea)</w:t>
      </w:r>
    </w:p>
    <w:p w:rsidR="002945EA" w:rsidRPr="00795242" w:rsidRDefault="002945EA" w:rsidP="00795242">
      <w:pPr>
        <w:spacing w:line="280" w:lineRule="atLeast"/>
        <w:contextualSpacing/>
        <w:rPr>
          <w:rFonts w:ascii="Arial" w:eastAsia="Calibri" w:hAnsi="Arial" w:cs="Arial"/>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593"/>
        <w:gridCol w:w="4046"/>
        <w:gridCol w:w="2693"/>
        <w:gridCol w:w="2361"/>
      </w:tblGrid>
      <w:tr w:rsidR="00795242" w:rsidRPr="00795242" w:rsidTr="002945EA">
        <w:trPr>
          <w:trHeight w:val="437"/>
        </w:trPr>
        <w:tc>
          <w:tcPr>
            <w:tcW w:w="593" w:type="dxa"/>
            <w:tcBorders>
              <w:top w:val="single" w:sz="8" w:space="0" w:color="000000"/>
              <w:bottom w:val="single" w:sz="8" w:space="0" w:color="000000"/>
            </w:tcBorders>
            <w:shd w:val="clear" w:color="auto" w:fill="auto"/>
          </w:tcPr>
          <w:p w:rsidR="00795242" w:rsidRPr="00795242" w:rsidRDefault="00795242" w:rsidP="002945EA">
            <w:pPr>
              <w:spacing w:before="40" w:after="40" w:line="280" w:lineRule="atLeast"/>
              <w:rPr>
                <w:rFonts w:ascii="Arial" w:eastAsia="Times New Roman" w:hAnsi="Arial" w:cs="Arial"/>
                <w:b/>
                <w:bCs/>
                <w:color w:val="000000"/>
                <w:sz w:val="22"/>
                <w:szCs w:val="22"/>
                <w:lang w:val="en-AU" w:eastAsia="en-AU"/>
              </w:rPr>
            </w:pPr>
          </w:p>
        </w:tc>
        <w:tc>
          <w:tcPr>
            <w:tcW w:w="4046" w:type="dxa"/>
            <w:tcBorders>
              <w:top w:val="single" w:sz="8" w:space="0" w:color="000000"/>
              <w:bottom w:val="single" w:sz="8" w:space="0" w:color="000000"/>
            </w:tcBorders>
            <w:shd w:val="clear" w:color="auto" w:fill="auto"/>
            <w:noWrap/>
          </w:tcPr>
          <w:p w:rsidR="00795242" w:rsidRPr="00795242" w:rsidRDefault="00795242" w:rsidP="002945EA">
            <w:pPr>
              <w:spacing w:before="40" w:after="40" w:line="280" w:lineRule="atLeast"/>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Venues</w:t>
            </w:r>
          </w:p>
        </w:tc>
        <w:tc>
          <w:tcPr>
            <w:tcW w:w="2693" w:type="dxa"/>
            <w:tcBorders>
              <w:top w:val="single" w:sz="8" w:space="0" w:color="000000"/>
              <w:bottom w:val="single" w:sz="8" w:space="0" w:color="000000"/>
            </w:tcBorders>
            <w:shd w:val="clear" w:color="auto" w:fill="auto"/>
            <w:noWrap/>
          </w:tcPr>
          <w:p w:rsidR="00795242" w:rsidRPr="00795242" w:rsidRDefault="00795242" w:rsidP="002945EA">
            <w:pPr>
              <w:spacing w:before="40" w:after="40" w:line="280" w:lineRule="atLeast"/>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2012/2013</w:t>
            </w:r>
          </w:p>
        </w:tc>
        <w:tc>
          <w:tcPr>
            <w:tcW w:w="2361" w:type="dxa"/>
            <w:tcBorders>
              <w:top w:val="single" w:sz="8" w:space="0" w:color="000000"/>
              <w:bottom w:val="single" w:sz="8" w:space="0" w:color="000000"/>
            </w:tcBorders>
            <w:shd w:val="clear" w:color="auto" w:fill="auto"/>
            <w:noWrap/>
          </w:tcPr>
          <w:p w:rsidR="00795242" w:rsidRPr="00795242" w:rsidRDefault="00795242" w:rsidP="002945EA">
            <w:pPr>
              <w:spacing w:before="40" w:after="40" w:line="280" w:lineRule="atLeast"/>
              <w:rPr>
                <w:rFonts w:ascii="Arial" w:eastAsia="Times New Roman" w:hAnsi="Arial" w:cs="Arial"/>
                <w:b/>
                <w:bCs/>
                <w:color w:val="000000"/>
                <w:sz w:val="22"/>
                <w:szCs w:val="22"/>
                <w:lang w:val="en-AU" w:eastAsia="en-AU"/>
              </w:rPr>
            </w:pPr>
            <w:r w:rsidRPr="00795242">
              <w:rPr>
                <w:rFonts w:ascii="Arial" w:eastAsia="Times New Roman" w:hAnsi="Arial" w:cs="Arial"/>
                <w:b/>
                <w:bCs/>
                <w:color w:val="000000"/>
                <w:sz w:val="22"/>
                <w:szCs w:val="22"/>
                <w:lang w:val="en-AU" w:eastAsia="en-AU"/>
              </w:rPr>
              <w:t>2011/2012</w:t>
            </w:r>
          </w:p>
        </w:tc>
      </w:tr>
      <w:tr w:rsidR="002945EA" w:rsidRPr="00795242" w:rsidTr="002945EA">
        <w:trPr>
          <w:trHeight w:val="437"/>
        </w:trPr>
        <w:tc>
          <w:tcPr>
            <w:tcW w:w="593" w:type="dxa"/>
            <w:tcBorders>
              <w:top w:val="single" w:sz="8" w:space="0" w:color="000000"/>
              <w:bottom w:val="nil"/>
            </w:tcBorders>
            <w:shd w:val="clear" w:color="auto" w:fill="FFFF00"/>
          </w:tcPr>
          <w:p w:rsidR="00795242" w:rsidRPr="00795242" w:rsidRDefault="00795242" w:rsidP="002945EA">
            <w:pPr>
              <w:spacing w:before="40" w:after="40" w:line="280" w:lineRule="atLeast"/>
              <w:rPr>
                <w:rFonts w:ascii="Arial" w:eastAsia="Times New Roman" w:hAnsi="Arial" w:cs="Arial"/>
                <w:bCs/>
                <w:color w:val="000000"/>
                <w:sz w:val="22"/>
                <w:szCs w:val="22"/>
                <w:highlight w:val="yellow"/>
                <w:lang w:val="en-AU" w:eastAsia="en-AU"/>
              </w:rPr>
            </w:pPr>
            <w:r w:rsidRPr="00795242">
              <w:rPr>
                <w:rFonts w:ascii="Arial" w:eastAsia="Times New Roman" w:hAnsi="Arial" w:cs="Arial"/>
                <w:bCs/>
                <w:color w:val="000000"/>
                <w:sz w:val="22"/>
                <w:szCs w:val="22"/>
                <w:highlight w:val="yellow"/>
                <w:lang w:val="en-AU" w:eastAsia="en-AU"/>
              </w:rPr>
              <w:t>1</w:t>
            </w:r>
          </w:p>
        </w:tc>
        <w:tc>
          <w:tcPr>
            <w:tcW w:w="4046" w:type="dxa"/>
            <w:tcBorders>
              <w:top w:val="single" w:sz="8" w:space="0" w:color="000000"/>
              <w:left w:val="nil"/>
              <w:bottom w:val="nil"/>
              <w:right w:val="nil"/>
            </w:tcBorders>
            <w:shd w:val="clear" w:color="auto" w:fill="FFFF00"/>
            <w:noWrap/>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EPPING PLAZA HOTEL</w:t>
            </w:r>
          </w:p>
        </w:tc>
        <w:tc>
          <w:tcPr>
            <w:tcW w:w="2693" w:type="dxa"/>
            <w:tcBorders>
              <w:top w:val="single" w:sz="8" w:space="0" w:color="000000"/>
              <w:bottom w:val="nil"/>
            </w:tcBorders>
            <w:shd w:val="clear" w:color="auto" w:fill="FFFF00"/>
            <w:noWrap/>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$21,033,163.42</w:t>
            </w:r>
          </w:p>
        </w:tc>
        <w:tc>
          <w:tcPr>
            <w:tcW w:w="2361" w:type="dxa"/>
            <w:tcBorders>
              <w:top w:val="single" w:sz="8" w:space="0" w:color="000000"/>
              <w:left w:val="nil"/>
              <w:bottom w:val="nil"/>
              <w:right w:val="nil"/>
            </w:tcBorders>
            <w:shd w:val="clear" w:color="auto" w:fill="FFFF00"/>
            <w:noWrap/>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$21,408,493.63</w:t>
            </w:r>
          </w:p>
        </w:tc>
      </w:tr>
      <w:tr w:rsidR="002945EA" w:rsidRPr="00795242" w:rsidTr="002945EA">
        <w:trPr>
          <w:trHeight w:val="414"/>
        </w:trPr>
        <w:tc>
          <w:tcPr>
            <w:tcW w:w="593" w:type="dxa"/>
            <w:tcBorders>
              <w:top w:val="nil"/>
              <w:bottom w:val="nil"/>
            </w:tcBorders>
            <w:shd w:val="clear" w:color="auto" w:fill="FFFF00"/>
          </w:tcPr>
          <w:p w:rsidR="00795242" w:rsidRPr="00795242" w:rsidRDefault="00795242" w:rsidP="002945EA">
            <w:pPr>
              <w:spacing w:before="40" w:after="40" w:line="280" w:lineRule="atLeast"/>
              <w:rPr>
                <w:rFonts w:ascii="Arial" w:eastAsia="Times New Roman" w:hAnsi="Arial" w:cs="Arial"/>
                <w:bCs/>
                <w:color w:val="000000"/>
                <w:sz w:val="22"/>
                <w:szCs w:val="22"/>
                <w:highlight w:val="yellow"/>
                <w:lang w:val="en-AU" w:eastAsia="en-AU"/>
              </w:rPr>
            </w:pPr>
            <w:r w:rsidRPr="00795242">
              <w:rPr>
                <w:rFonts w:ascii="Arial" w:eastAsia="Times New Roman" w:hAnsi="Arial" w:cs="Arial"/>
                <w:bCs/>
                <w:color w:val="000000"/>
                <w:sz w:val="22"/>
                <w:szCs w:val="22"/>
                <w:highlight w:val="yellow"/>
                <w:lang w:val="en-AU" w:eastAsia="en-AU"/>
              </w:rPr>
              <w:t>2</w:t>
            </w:r>
          </w:p>
        </w:tc>
        <w:tc>
          <w:tcPr>
            <w:tcW w:w="4046" w:type="dxa"/>
            <w:tcBorders>
              <w:top w:val="nil"/>
              <w:bottom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PLOUGH HOTEL</w:t>
            </w:r>
          </w:p>
        </w:tc>
        <w:tc>
          <w:tcPr>
            <w:tcW w:w="2693" w:type="dxa"/>
            <w:tcBorders>
              <w:top w:val="nil"/>
              <w:bottom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$18,570,386.17</w:t>
            </w:r>
          </w:p>
        </w:tc>
        <w:tc>
          <w:tcPr>
            <w:tcW w:w="2361" w:type="dxa"/>
            <w:tcBorders>
              <w:top w:val="nil"/>
              <w:bottom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highlight w:val="yellow"/>
                <w:lang w:val="en-AU" w:eastAsia="en-AU"/>
              </w:rPr>
              <w:t>$20,844,475.23</w:t>
            </w:r>
          </w:p>
        </w:tc>
      </w:tr>
      <w:tr w:rsidR="002945EA" w:rsidRPr="00795242" w:rsidTr="002945EA">
        <w:trPr>
          <w:trHeight w:val="437"/>
        </w:trPr>
        <w:tc>
          <w:tcPr>
            <w:tcW w:w="593" w:type="dxa"/>
            <w:tcBorders>
              <w:top w:val="nil"/>
            </w:tcBorders>
            <w:shd w:val="clear" w:color="auto" w:fill="C0C0C0"/>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3</w:t>
            </w:r>
          </w:p>
        </w:tc>
        <w:tc>
          <w:tcPr>
            <w:tcW w:w="4046" w:type="dxa"/>
            <w:tcBorders>
              <w:top w:val="nil"/>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WERRIBEE PLAZA TAVERN</w:t>
            </w:r>
          </w:p>
        </w:tc>
        <w:tc>
          <w:tcPr>
            <w:tcW w:w="2693" w:type="dxa"/>
            <w:tcBorders>
              <w:top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$18,457,485.59</w:t>
            </w:r>
          </w:p>
        </w:tc>
        <w:tc>
          <w:tcPr>
            <w:tcW w:w="2361" w:type="dxa"/>
            <w:tcBorders>
              <w:top w:val="nil"/>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$21,004,310.07</w:t>
            </w:r>
          </w:p>
        </w:tc>
      </w:tr>
      <w:tr w:rsidR="00795242" w:rsidRPr="00795242" w:rsidTr="002945EA">
        <w:trPr>
          <w:trHeight w:val="437"/>
        </w:trPr>
        <w:tc>
          <w:tcPr>
            <w:tcW w:w="593" w:type="dxa"/>
            <w:tcBorders>
              <w:bottom w:val="nil"/>
            </w:tcBorders>
            <w:shd w:val="clear" w:color="auto" w:fill="auto"/>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4</w:t>
            </w:r>
          </w:p>
        </w:tc>
        <w:tc>
          <w:tcPr>
            <w:tcW w:w="4046" w:type="dxa"/>
            <w:tcBorders>
              <w:bottom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GLADSTONE PARK HOTEL</w:t>
            </w:r>
          </w:p>
        </w:tc>
        <w:tc>
          <w:tcPr>
            <w:tcW w:w="2693" w:type="dxa"/>
            <w:tcBorders>
              <w:bottom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$18,362,339.67</w:t>
            </w:r>
          </w:p>
        </w:tc>
        <w:tc>
          <w:tcPr>
            <w:tcW w:w="2361" w:type="dxa"/>
            <w:tcBorders>
              <w:bottom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$18,564,839.38</w:t>
            </w:r>
          </w:p>
        </w:tc>
      </w:tr>
      <w:tr w:rsidR="002945EA" w:rsidRPr="00795242" w:rsidTr="002945EA">
        <w:trPr>
          <w:trHeight w:val="414"/>
        </w:trPr>
        <w:tc>
          <w:tcPr>
            <w:tcW w:w="593" w:type="dxa"/>
            <w:tcBorders>
              <w:top w:val="nil"/>
              <w:bottom w:val="nil"/>
            </w:tcBorders>
            <w:shd w:val="clear" w:color="auto" w:fill="FFFF00"/>
          </w:tcPr>
          <w:p w:rsidR="00795242" w:rsidRPr="00795242" w:rsidRDefault="00795242" w:rsidP="002945EA">
            <w:pPr>
              <w:spacing w:before="40" w:after="40" w:line="280" w:lineRule="atLeast"/>
              <w:rPr>
                <w:rFonts w:ascii="Arial" w:eastAsia="Times New Roman" w:hAnsi="Arial" w:cs="Arial"/>
                <w:bCs/>
                <w:color w:val="000000"/>
                <w:sz w:val="22"/>
                <w:szCs w:val="22"/>
                <w:highlight w:val="yellow"/>
                <w:lang w:val="en-AU" w:eastAsia="en-AU"/>
              </w:rPr>
            </w:pPr>
            <w:r w:rsidRPr="00795242">
              <w:rPr>
                <w:rFonts w:ascii="Arial" w:eastAsia="Times New Roman" w:hAnsi="Arial" w:cs="Arial"/>
                <w:bCs/>
                <w:color w:val="000000"/>
                <w:sz w:val="22"/>
                <w:szCs w:val="22"/>
                <w:highlight w:val="yellow"/>
                <w:lang w:val="en-AU" w:eastAsia="en-AU"/>
              </w:rPr>
              <w:t>5</w:t>
            </w:r>
          </w:p>
        </w:tc>
        <w:tc>
          <w:tcPr>
            <w:tcW w:w="4046" w:type="dxa"/>
            <w:tcBorders>
              <w:top w:val="nil"/>
              <w:left w:val="nil"/>
              <w:bottom w:val="nil"/>
              <w:right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BUNDOORA TAVERNER</w:t>
            </w:r>
          </w:p>
        </w:tc>
        <w:tc>
          <w:tcPr>
            <w:tcW w:w="2693" w:type="dxa"/>
            <w:tcBorders>
              <w:top w:val="nil"/>
              <w:bottom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highlight w:val="yellow"/>
                <w:lang w:val="en-AU" w:eastAsia="en-AU"/>
              </w:rPr>
            </w:pPr>
            <w:r w:rsidRPr="00795242">
              <w:rPr>
                <w:rFonts w:ascii="Arial" w:eastAsia="Times New Roman" w:hAnsi="Arial" w:cs="Arial"/>
                <w:bCs/>
                <w:color w:val="000000"/>
                <w:sz w:val="20"/>
                <w:szCs w:val="22"/>
                <w:highlight w:val="yellow"/>
                <w:lang w:val="en-AU" w:eastAsia="en-AU"/>
              </w:rPr>
              <w:t>$17,937,769.98</w:t>
            </w:r>
          </w:p>
        </w:tc>
        <w:tc>
          <w:tcPr>
            <w:tcW w:w="2361" w:type="dxa"/>
            <w:tcBorders>
              <w:top w:val="nil"/>
              <w:left w:val="nil"/>
              <w:bottom w:val="nil"/>
              <w:right w:val="nil"/>
            </w:tcBorders>
            <w:shd w:val="clear" w:color="auto" w:fill="FFFF0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highlight w:val="yellow"/>
                <w:lang w:val="en-AU" w:eastAsia="en-AU"/>
              </w:rPr>
              <w:t>$19,201,821.61</w:t>
            </w:r>
          </w:p>
        </w:tc>
      </w:tr>
      <w:tr w:rsidR="00795242" w:rsidRPr="00795242" w:rsidTr="002945EA">
        <w:trPr>
          <w:trHeight w:val="437"/>
        </w:trPr>
        <w:tc>
          <w:tcPr>
            <w:tcW w:w="593" w:type="dxa"/>
            <w:tcBorders>
              <w:top w:val="nil"/>
            </w:tcBorders>
            <w:shd w:val="clear" w:color="auto" w:fill="auto"/>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6</w:t>
            </w:r>
          </w:p>
        </w:tc>
        <w:tc>
          <w:tcPr>
            <w:tcW w:w="4046" w:type="dxa"/>
            <w:tcBorders>
              <w:top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KEALBA HOTEL</w:t>
            </w:r>
          </w:p>
        </w:tc>
        <w:tc>
          <w:tcPr>
            <w:tcW w:w="2693" w:type="dxa"/>
            <w:tcBorders>
              <w:top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$17,466,945.22</w:t>
            </w:r>
          </w:p>
        </w:tc>
        <w:tc>
          <w:tcPr>
            <w:tcW w:w="2361" w:type="dxa"/>
            <w:tcBorders>
              <w:top w:val="nil"/>
            </w:tcBorders>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$18,309,012.39</w:t>
            </w:r>
          </w:p>
        </w:tc>
      </w:tr>
      <w:tr w:rsidR="002945EA" w:rsidRPr="00795242" w:rsidTr="002945EA">
        <w:trPr>
          <w:trHeight w:val="437"/>
        </w:trPr>
        <w:tc>
          <w:tcPr>
            <w:tcW w:w="593" w:type="dxa"/>
            <w:shd w:val="clear" w:color="auto" w:fill="C0C0C0"/>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7</w:t>
            </w:r>
          </w:p>
        </w:tc>
        <w:tc>
          <w:tcPr>
            <w:tcW w:w="4046" w:type="dxa"/>
            <w:tcBorders>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KEYSBOROUGH HOTEL</w:t>
            </w:r>
          </w:p>
        </w:tc>
        <w:tc>
          <w:tcPr>
            <w:tcW w:w="2693" w:type="dxa"/>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$17,023,021.71</w:t>
            </w:r>
          </w:p>
        </w:tc>
        <w:tc>
          <w:tcPr>
            <w:tcW w:w="2361" w:type="dxa"/>
            <w:tcBorders>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$19,306,118.41</w:t>
            </w:r>
          </w:p>
        </w:tc>
      </w:tr>
      <w:tr w:rsidR="00795242" w:rsidRPr="00795242" w:rsidTr="002945EA">
        <w:trPr>
          <w:trHeight w:val="414"/>
        </w:trPr>
        <w:tc>
          <w:tcPr>
            <w:tcW w:w="593" w:type="dxa"/>
            <w:shd w:val="clear" w:color="auto" w:fill="auto"/>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8</w:t>
            </w:r>
          </w:p>
        </w:tc>
        <w:tc>
          <w:tcPr>
            <w:tcW w:w="4046"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HIGHWAYS SANDOWN</w:t>
            </w:r>
          </w:p>
        </w:tc>
        <w:tc>
          <w:tcPr>
            <w:tcW w:w="2693"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$16,866,246.98</w:t>
            </w:r>
          </w:p>
        </w:tc>
        <w:tc>
          <w:tcPr>
            <w:tcW w:w="2361"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$16,973,271.88</w:t>
            </w:r>
          </w:p>
        </w:tc>
      </w:tr>
      <w:tr w:rsidR="002945EA" w:rsidRPr="00795242" w:rsidTr="002945EA">
        <w:trPr>
          <w:trHeight w:val="437"/>
        </w:trPr>
        <w:tc>
          <w:tcPr>
            <w:tcW w:w="593" w:type="dxa"/>
            <w:shd w:val="clear" w:color="auto" w:fill="C0C0C0"/>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9</w:t>
            </w:r>
          </w:p>
        </w:tc>
        <w:tc>
          <w:tcPr>
            <w:tcW w:w="4046" w:type="dxa"/>
            <w:tcBorders>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SKYWAYS TAVERNER</w:t>
            </w:r>
          </w:p>
        </w:tc>
        <w:tc>
          <w:tcPr>
            <w:tcW w:w="2693" w:type="dxa"/>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$16,545,176.90</w:t>
            </w:r>
          </w:p>
        </w:tc>
        <w:tc>
          <w:tcPr>
            <w:tcW w:w="2361" w:type="dxa"/>
            <w:tcBorders>
              <w:left w:val="nil"/>
              <w:right w:val="nil"/>
            </w:tcBorders>
            <w:shd w:val="clear" w:color="auto" w:fill="C0C0C0"/>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$18,238,708.69</w:t>
            </w:r>
          </w:p>
        </w:tc>
      </w:tr>
      <w:tr w:rsidR="00795242" w:rsidRPr="00795242" w:rsidTr="002945EA">
        <w:trPr>
          <w:trHeight w:val="437"/>
        </w:trPr>
        <w:tc>
          <w:tcPr>
            <w:tcW w:w="593" w:type="dxa"/>
            <w:shd w:val="clear" w:color="auto" w:fill="auto"/>
          </w:tcPr>
          <w:p w:rsidR="00795242" w:rsidRPr="00795242" w:rsidRDefault="00795242" w:rsidP="002945EA">
            <w:pPr>
              <w:spacing w:before="40" w:after="40" w:line="280" w:lineRule="atLeast"/>
              <w:rPr>
                <w:rFonts w:ascii="Arial" w:eastAsia="Times New Roman" w:hAnsi="Arial" w:cs="Arial"/>
                <w:bCs/>
                <w:color w:val="000000"/>
                <w:sz w:val="22"/>
                <w:szCs w:val="22"/>
                <w:lang w:val="en-AU" w:eastAsia="en-AU"/>
              </w:rPr>
            </w:pPr>
            <w:r w:rsidRPr="00795242">
              <w:rPr>
                <w:rFonts w:ascii="Arial" w:eastAsia="Times New Roman" w:hAnsi="Arial" w:cs="Arial"/>
                <w:bCs/>
                <w:color w:val="000000"/>
                <w:sz w:val="22"/>
                <w:szCs w:val="22"/>
                <w:lang w:val="en-AU" w:eastAsia="en-AU"/>
              </w:rPr>
              <w:t>10</w:t>
            </w:r>
          </w:p>
        </w:tc>
        <w:tc>
          <w:tcPr>
            <w:tcW w:w="4046"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ROSSTOWN HOTEL</w:t>
            </w:r>
          </w:p>
        </w:tc>
        <w:tc>
          <w:tcPr>
            <w:tcW w:w="2693"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$15,835,642.85</w:t>
            </w:r>
          </w:p>
        </w:tc>
        <w:tc>
          <w:tcPr>
            <w:tcW w:w="2361" w:type="dxa"/>
            <w:shd w:val="clear" w:color="auto" w:fill="auto"/>
            <w:noWrap/>
            <w:hideMark/>
          </w:tcPr>
          <w:p w:rsidR="00795242" w:rsidRPr="00795242" w:rsidRDefault="00795242" w:rsidP="002945EA">
            <w:pPr>
              <w:spacing w:before="40" w:after="40" w:line="280" w:lineRule="atLeast"/>
              <w:rPr>
                <w:rFonts w:ascii="Arial" w:eastAsia="Times New Roman" w:hAnsi="Arial" w:cs="Arial"/>
                <w:bCs/>
                <w:color w:val="000000"/>
                <w:sz w:val="20"/>
                <w:szCs w:val="22"/>
                <w:lang w:val="en-AU" w:eastAsia="en-AU"/>
              </w:rPr>
            </w:pPr>
            <w:r w:rsidRPr="00795242">
              <w:rPr>
                <w:rFonts w:ascii="Arial" w:eastAsia="Times New Roman" w:hAnsi="Arial" w:cs="Arial"/>
                <w:bCs/>
                <w:color w:val="000000"/>
                <w:sz w:val="20"/>
                <w:szCs w:val="22"/>
                <w:lang w:val="en-AU" w:eastAsia="en-AU"/>
              </w:rPr>
              <w:t>$14,128,059.97</w:t>
            </w:r>
          </w:p>
        </w:tc>
      </w:tr>
    </w:tbl>
    <w:p w:rsidR="00795242" w:rsidRPr="00795242" w:rsidRDefault="00795242" w:rsidP="00795242">
      <w:pPr>
        <w:spacing w:line="280" w:lineRule="atLeast"/>
        <w:contextualSpacing/>
        <w:rPr>
          <w:rFonts w:ascii="Arial" w:eastAsia="Calibri" w:hAnsi="Arial" w:cs="Arial"/>
          <w:sz w:val="22"/>
          <w:szCs w:val="22"/>
        </w:rPr>
      </w:pPr>
    </w:p>
    <w:p w:rsidR="00795242" w:rsidRPr="00795242" w:rsidRDefault="00795242" w:rsidP="00795242">
      <w:pPr>
        <w:spacing w:line="280" w:lineRule="atLeast"/>
        <w:contextualSpacing/>
        <w:rPr>
          <w:rFonts w:ascii="Arial" w:eastAsia="Calibri" w:hAnsi="Arial" w:cs="Arial"/>
          <w:sz w:val="22"/>
          <w:szCs w:val="22"/>
          <w:lang w:val="en-AU"/>
        </w:rPr>
      </w:pPr>
    </w:p>
    <w:p w:rsidR="00795242" w:rsidRPr="00795242" w:rsidRDefault="00795242" w:rsidP="00795242">
      <w:pPr>
        <w:spacing w:line="280" w:lineRule="atLeast"/>
        <w:ind w:left="-1800" w:right="-1800" w:firstLine="1800"/>
        <w:contextualSpacing/>
        <w:rPr>
          <w:rFonts w:ascii="Arial" w:hAnsi="Arial" w:cs="Arial"/>
          <w:sz w:val="22"/>
          <w:szCs w:val="22"/>
          <w:lang w:val="en-AU"/>
        </w:rPr>
      </w:pPr>
    </w:p>
    <w:p w:rsidR="005B6C61" w:rsidRPr="00795242" w:rsidRDefault="00702727" w:rsidP="00795242">
      <w:pPr>
        <w:spacing w:line="280" w:lineRule="atLeast"/>
        <w:ind w:left="-1800" w:right="-1800" w:firstLine="1800"/>
        <w:contextualSpacing/>
        <w:rPr>
          <w:rFonts w:ascii="Arial" w:hAnsi="Arial" w:cs="Arial"/>
          <w:sz w:val="22"/>
          <w:szCs w:val="22"/>
          <w:lang w:val="en-AU"/>
        </w:rPr>
      </w:pPr>
      <w:r w:rsidRPr="00795242">
        <w:rPr>
          <w:rFonts w:ascii="Arial" w:hAnsi="Arial" w:cs="Arial"/>
          <w:sz w:val="22"/>
          <w:szCs w:val="22"/>
          <w:lang w:val="en-AU"/>
        </w:rPr>
        <w:tab/>
      </w:r>
    </w:p>
    <w:p w:rsidR="003F783A" w:rsidRPr="00795242" w:rsidRDefault="003F783A" w:rsidP="00795242">
      <w:pPr>
        <w:spacing w:line="280" w:lineRule="atLeast"/>
        <w:ind w:left="-1800" w:right="-1800" w:firstLine="1800"/>
        <w:contextualSpacing/>
        <w:rPr>
          <w:rFonts w:ascii="Arial" w:hAnsi="Arial" w:cs="Arial"/>
          <w:sz w:val="22"/>
          <w:szCs w:val="22"/>
          <w:lang w:val="en-AU"/>
        </w:rPr>
      </w:pPr>
    </w:p>
    <w:sectPr w:rsidR="003F783A" w:rsidRPr="00795242" w:rsidSect="002E3194">
      <w:headerReference w:type="even" r:id="rId10"/>
      <w:headerReference w:type="default" r:id="rId11"/>
      <w:footerReference w:type="default" r:id="rId12"/>
      <w:headerReference w:type="first" r:id="rId13"/>
      <w:pgSz w:w="11900" w:h="16840"/>
      <w:pgMar w:top="238" w:right="1134" w:bottom="1418" w:left="1134" w:header="709" w:footer="113"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AB" w:rsidRDefault="00C212ED">
      <w:r>
        <w:separator/>
      </w:r>
    </w:p>
  </w:endnote>
  <w:endnote w:type="continuationSeparator" w:id="0">
    <w:p w:rsidR="00B545AB" w:rsidRDefault="00C212ED">
      <w:r>
        <w:continuationSeparator/>
      </w:r>
    </w:p>
  </w:endnote>
  <w:endnote w:id="1">
    <w:p w:rsidR="00795242" w:rsidRPr="00217A8F" w:rsidRDefault="00795242" w:rsidP="00795242">
      <w:pPr>
        <w:pStyle w:val="EndnoteText"/>
        <w:rPr>
          <w:sz w:val="18"/>
          <w:szCs w:val="18"/>
        </w:rPr>
      </w:pPr>
      <w:r w:rsidRPr="00217A8F">
        <w:rPr>
          <w:rStyle w:val="EndnoteReference"/>
          <w:sz w:val="18"/>
          <w:szCs w:val="18"/>
        </w:rPr>
        <w:endnoteRef/>
      </w:r>
      <w:r w:rsidRPr="00217A8F">
        <w:rPr>
          <w:sz w:val="18"/>
          <w:szCs w:val="18"/>
        </w:rPr>
        <w:t xml:space="preserve"> </w:t>
      </w:r>
      <w:proofErr w:type="gramStart"/>
      <w:r w:rsidRPr="00217A8F">
        <w:rPr>
          <w:rFonts w:eastAsia="Times New Roman" w:cs="Calibri"/>
          <w:sz w:val="18"/>
          <w:szCs w:val="18"/>
        </w:rPr>
        <w:t>ABS Census of Population and Housing 2011.</w:t>
      </w:r>
      <w:proofErr w:type="gramEnd"/>
    </w:p>
  </w:endnote>
  <w:endnote w:id="2">
    <w:p w:rsidR="00795242" w:rsidRDefault="00795242" w:rsidP="00795242">
      <w:pPr>
        <w:pStyle w:val="EndnoteText"/>
      </w:pPr>
      <w:r>
        <w:rPr>
          <w:rStyle w:val="EndnoteReference"/>
        </w:rPr>
        <w:endnoteRef/>
      </w:r>
      <w:r>
        <w:t xml:space="preserve"> </w:t>
      </w:r>
      <w:r w:rsidRPr="0064511B">
        <w:rPr>
          <w:rFonts w:cs="Calibri"/>
        </w:rPr>
        <w:t xml:space="preserve">Victorian Commission for Gambling and Liquor Regulation </w:t>
      </w:r>
      <w:r>
        <w:rPr>
          <w:rFonts w:cs="Calibri"/>
        </w:rPr>
        <w:t>, 2012)</w:t>
      </w:r>
      <w:r w:rsidRPr="0064511B">
        <w:rPr>
          <w:rFonts w:cs="Calibri"/>
        </w:rPr>
        <w:t xml:space="preserve">  </w:t>
      </w:r>
    </w:p>
  </w:endnote>
  <w:endnote w:id="3">
    <w:p w:rsidR="00795242" w:rsidRPr="00217A8F" w:rsidRDefault="00795242" w:rsidP="00795242">
      <w:pPr>
        <w:pStyle w:val="EndnoteText"/>
        <w:rPr>
          <w:sz w:val="18"/>
          <w:szCs w:val="18"/>
        </w:rPr>
      </w:pPr>
      <w:r w:rsidRPr="00217A8F">
        <w:rPr>
          <w:rStyle w:val="EndnoteReference"/>
          <w:sz w:val="18"/>
          <w:szCs w:val="18"/>
        </w:rPr>
        <w:endnoteRef/>
      </w:r>
      <w:r w:rsidRPr="00217A8F">
        <w:rPr>
          <w:sz w:val="18"/>
          <w:szCs w:val="18"/>
        </w:rPr>
        <w:t xml:space="preserve"> </w:t>
      </w:r>
      <w:proofErr w:type="spellStart"/>
      <w:r w:rsidRPr="00217A8F">
        <w:rPr>
          <w:rFonts w:cs="Calibri"/>
          <w:sz w:val="18"/>
          <w:szCs w:val="18"/>
        </w:rPr>
        <w:t>Suomi</w:t>
      </w:r>
      <w:proofErr w:type="spellEnd"/>
      <w:r w:rsidRPr="00217A8F">
        <w:rPr>
          <w:rFonts w:cs="Calibri"/>
          <w:sz w:val="18"/>
          <w:szCs w:val="18"/>
        </w:rPr>
        <w:t xml:space="preserve"> et al. </w:t>
      </w:r>
      <w:r w:rsidRPr="00217A8F">
        <w:rPr>
          <w:rFonts w:cs="Calibri"/>
          <w:i/>
          <w:sz w:val="18"/>
          <w:szCs w:val="18"/>
        </w:rPr>
        <w:t>Asian Journal of Gambling Issues and Public Health</w:t>
      </w:r>
      <w:r w:rsidRPr="00217A8F">
        <w:rPr>
          <w:rFonts w:cs="Calibri"/>
          <w:sz w:val="18"/>
          <w:szCs w:val="18"/>
        </w:rPr>
        <w:t xml:space="preserve"> 2013, 3:13 http://www.ajgiph.com/content/3/1/13)</w:t>
      </w:r>
    </w:p>
  </w:endnote>
  <w:endnote w:id="4">
    <w:p w:rsidR="00795242" w:rsidRPr="00217A8F" w:rsidRDefault="00795242" w:rsidP="00795242">
      <w:pPr>
        <w:pStyle w:val="EndnoteText"/>
        <w:rPr>
          <w:sz w:val="18"/>
          <w:szCs w:val="18"/>
        </w:rPr>
      </w:pPr>
      <w:r w:rsidRPr="00217A8F">
        <w:rPr>
          <w:rStyle w:val="EndnoteReference"/>
          <w:sz w:val="18"/>
          <w:szCs w:val="18"/>
        </w:rPr>
        <w:endnoteRef/>
      </w:r>
      <w:r w:rsidRPr="00217A8F">
        <w:rPr>
          <w:sz w:val="18"/>
          <w:szCs w:val="18"/>
        </w:rPr>
        <w:t xml:space="preserve"> </w:t>
      </w:r>
      <w:r w:rsidRPr="00217A8F">
        <w:rPr>
          <w:rFonts w:cs="Calibri"/>
          <w:bCs/>
          <w:i/>
          <w:sz w:val="18"/>
          <w:szCs w:val="18"/>
          <w:lang w:val="en"/>
        </w:rPr>
        <w:t>Placing Bets: gambling venues and the distribution of harm, Australian Geographer</w:t>
      </w:r>
      <w:r w:rsidRPr="00217A8F">
        <w:rPr>
          <w:rFonts w:cs="Calibri"/>
          <w:bCs/>
          <w:sz w:val="18"/>
          <w:szCs w:val="18"/>
          <w:lang w:val="en"/>
        </w:rPr>
        <w:t xml:space="preserve">, </w:t>
      </w:r>
      <w:r w:rsidRPr="00217A8F">
        <w:rPr>
          <w:rFonts w:cs="Calibri"/>
          <w:bCs/>
          <w:sz w:val="18"/>
          <w:szCs w:val="18"/>
        </w:rPr>
        <w:t>Volume 43, Issue 4, 2012</w:t>
      </w:r>
    </w:p>
  </w:endnote>
  <w:endnote w:id="5">
    <w:p w:rsidR="00795242" w:rsidRPr="00217A8F" w:rsidRDefault="00795242" w:rsidP="00795242">
      <w:pPr>
        <w:pStyle w:val="EndnoteText"/>
        <w:rPr>
          <w:sz w:val="18"/>
          <w:szCs w:val="18"/>
        </w:rPr>
      </w:pPr>
      <w:r w:rsidRPr="00217A8F">
        <w:rPr>
          <w:rStyle w:val="EndnoteReference"/>
          <w:sz w:val="18"/>
          <w:szCs w:val="18"/>
        </w:rPr>
        <w:endnoteRef/>
      </w:r>
      <w:r w:rsidRPr="00217A8F">
        <w:rPr>
          <w:sz w:val="18"/>
          <w:szCs w:val="18"/>
        </w:rPr>
        <w:t xml:space="preserve"> </w:t>
      </w:r>
      <w:r w:rsidRPr="00217A8F">
        <w:rPr>
          <w:rFonts w:cs="Calibri"/>
          <w:i/>
          <w:sz w:val="18"/>
          <w:szCs w:val="18"/>
        </w:rPr>
        <w:t xml:space="preserve">Counting the Cost,  </w:t>
      </w:r>
      <w:r w:rsidRPr="00217A8F">
        <w:rPr>
          <w:rFonts w:cs="Calibri"/>
          <w:bCs/>
          <w:i/>
          <w:sz w:val="18"/>
          <w:szCs w:val="18"/>
        </w:rPr>
        <w:t>Inquiry into the Costs of Problem Gambling</w:t>
      </w:r>
      <w:r w:rsidRPr="00217A8F">
        <w:rPr>
          <w:rFonts w:cs="Calibri"/>
          <w:bCs/>
          <w:sz w:val="18"/>
          <w:szCs w:val="18"/>
        </w:rPr>
        <w:t>, VCEC 2012 State of Victoria</w:t>
      </w:r>
    </w:p>
  </w:endnote>
  <w:endnote w:id="6">
    <w:p w:rsidR="00795242" w:rsidRPr="00217A8F" w:rsidRDefault="00795242" w:rsidP="00795242">
      <w:pPr>
        <w:pStyle w:val="EndnoteText"/>
        <w:rPr>
          <w:sz w:val="18"/>
          <w:szCs w:val="18"/>
        </w:rPr>
      </w:pPr>
      <w:r w:rsidRPr="00217A8F">
        <w:rPr>
          <w:rStyle w:val="EndnoteReference"/>
          <w:sz w:val="18"/>
          <w:szCs w:val="18"/>
        </w:rPr>
        <w:endnoteRef/>
      </w:r>
      <w:r w:rsidRPr="00217A8F">
        <w:rPr>
          <w:sz w:val="18"/>
          <w:szCs w:val="18"/>
        </w:rPr>
        <w:t xml:space="preserve"> P. 32 http://www.legislation.vic.gov.au/Domino/Web_Notes/LDMS/PubStatbook.nsf/f932b66241ecf1b7ca256e92000e23be/8B1B293B576FE6B1CA2574B8001FDEB7/$FILE/08-46a.pdf</w:t>
      </w:r>
    </w:p>
  </w:endnote>
  <w:endnote w:id="7">
    <w:p w:rsidR="00795242" w:rsidRPr="00217A8F" w:rsidRDefault="00795242" w:rsidP="00795242">
      <w:pPr>
        <w:pStyle w:val="CommentText"/>
        <w:rPr>
          <w:sz w:val="18"/>
          <w:szCs w:val="18"/>
        </w:rPr>
      </w:pPr>
      <w:r w:rsidRPr="00217A8F">
        <w:rPr>
          <w:rStyle w:val="EndnoteReference"/>
          <w:sz w:val="18"/>
          <w:szCs w:val="18"/>
        </w:rPr>
        <w:endnoteRef/>
      </w:r>
      <w:r w:rsidRPr="00217A8F">
        <w:rPr>
          <w:sz w:val="18"/>
          <w:szCs w:val="18"/>
        </w:rPr>
        <w:t xml:space="preserve"> </w:t>
      </w:r>
      <w:proofErr w:type="gramStart"/>
      <w:r w:rsidRPr="00217A8F">
        <w:rPr>
          <w:sz w:val="18"/>
          <w:szCs w:val="18"/>
        </w:rPr>
        <w:t>Victorian Responsible Gambling Foundation.</w:t>
      </w:r>
      <w:proofErr w:type="gramEnd"/>
      <w:r w:rsidRPr="00217A8F">
        <w:rPr>
          <w:sz w:val="18"/>
          <w:szCs w:val="18"/>
        </w:rPr>
        <w:t xml:space="preserve">  </w:t>
      </w:r>
      <w:hyperlink r:id="rId1" w:history="1">
        <w:r w:rsidRPr="00217A8F">
          <w:rPr>
            <w:rStyle w:val="Hyperlink"/>
            <w:sz w:val="18"/>
            <w:szCs w:val="18"/>
          </w:rPr>
          <w:t>http://www.responsiblegambling.vic.gov.au/about-us</w:t>
        </w:r>
      </w:hyperlink>
    </w:p>
  </w:endnote>
  <w:endnote w:id="8">
    <w:p w:rsidR="00795242" w:rsidRDefault="00795242" w:rsidP="00795242">
      <w:pPr>
        <w:pStyle w:val="EndnoteText"/>
      </w:pPr>
      <w:r>
        <w:rPr>
          <w:rStyle w:val="EndnoteReference"/>
        </w:rPr>
        <w:endnoteRef/>
      </w:r>
      <w:r>
        <w:t xml:space="preserve"> </w:t>
      </w:r>
      <w:hyperlink r:id="rId2" w:history="1">
        <w:r>
          <w:rPr>
            <w:rStyle w:val="Hyperlink"/>
            <w:color w:val="000000"/>
          </w:rPr>
          <w:t>https://www.fahcsia.gov.au/our-responsibilities/communities-and-vulnerable-people/programs-services/gambling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18748"/>
      <w:docPartObj>
        <w:docPartGallery w:val="Page Numbers (Bottom of Page)"/>
        <w:docPartUnique/>
      </w:docPartObj>
    </w:sdtPr>
    <w:sdtEndPr>
      <w:rPr>
        <w:noProof/>
        <w:sz w:val="16"/>
      </w:rPr>
    </w:sdtEndPr>
    <w:sdtContent>
      <w:p w:rsidR="002E3194" w:rsidRPr="002E3194" w:rsidRDefault="002E3194">
        <w:pPr>
          <w:pStyle w:val="Footer"/>
          <w:jc w:val="right"/>
          <w:rPr>
            <w:sz w:val="16"/>
          </w:rPr>
        </w:pPr>
        <w:r w:rsidRPr="002E3194">
          <w:rPr>
            <w:sz w:val="16"/>
          </w:rPr>
          <w:fldChar w:fldCharType="begin"/>
        </w:r>
        <w:r w:rsidRPr="002E3194">
          <w:rPr>
            <w:sz w:val="16"/>
          </w:rPr>
          <w:instrText xml:space="preserve"> PAGE   \* MERGEFORMAT </w:instrText>
        </w:r>
        <w:r w:rsidRPr="002E3194">
          <w:rPr>
            <w:sz w:val="16"/>
          </w:rPr>
          <w:fldChar w:fldCharType="separate"/>
        </w:r>
        <w:r w:rsidR="00B47DA0">
          <w:rPr>
            <w:noProof/>
            <w:sz w:val="16"/>
          </w:rPr>
          <w:t>56</w:t>
        </w:r>
        <w:r w:rsidRPr="002E3194">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AB" w:rsidRDefault="00C212ED">
      <w:r>
        <w:separator/>
      </w:r>
    </w:p>
  </w:footnote>
  <w:footnote w:type="continuationSeparator" w:id="0">
    <w:p w:rsidR="00B545AB"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47D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47D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47D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vcgr.vic.gov.au/icons/ecblank.gif" style="width:12pt;height:.75pt;visibility:visible;mso-wrap-style:square" o:bullet="t">
        <v:imagedata r:id="rId1" o:title="ecblank"/>
      </v:shape>
    </w:pict>
  </w:numPicBullet>
  <w:abstractNum w:abstractNumId="0">
    <w:nsid w:val="00196317"/>
    <w:multiLevelType w:val="hybridMultilevel"/>
    <w:tmpl w:val="668A5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2">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3532A"/>
    <w:multiLevelType w:val="hybridMultilevel"/>
    <w:tmpl w:val="2AD8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5D3615"/>
    <w:multiLevelType w:val="hybridMultilevel"/>
    <w:tmpl w:val="1D42C314"/>
    <w:lvl w:ilvl="0" w:tplc="702016C0">
      <w:start w:val="1"/>
      <w:numFmt w:val="bullet"/>
      <w:lvlText w:val="•"/>
      <w:lvlJc w:val="left"/>
      <w:pPr>
        <w:tabs>
          <w:tab w:val="num" w:pos="720"/>
        </w:tabs>
        <w:ind w:left="720" w:hanging="360"/>
      </w:pPr>
      <w:rPr>
        <w:rFonts w:ascii="Arial" w:hAnsi="Arial" w:hint="default"/>
      </w:rPr>
    </w:lvl>
    <w:lvl w:ilvl="1" w:tplc="3B86ECCC">
      <w:start w:val="1"/>
      <w:numFmt w:val="decimal"/>
      <w:lvlText w:val="%2."/>
      <w:lvlJc w:val="left"/>
      <w:pPr>
        <w:tabs>
          <w:tab w:val="num" w:pos="1440"/>
        </w:tabs>
        <w:ind w:left="1440" w:hanging="360"/>
      </w:pPr>
    </w:lvl>
    <w:lvl w:ilvl="2" w:tplc="E3FCFD54" w:tentative="1">
      <w:start w:val="1"/>
      <w:numFmt w:val="bullet"/>
      <w:lvlText w:val="•"/>
      <w:lvlJc w:val="left"/>
      <w:pPr>
        <w:tabs>
          <w:tab w:val="num" w:pos="2160"/>
        </w:tabs>
        <w:ind w:left="2160" w:hanging="360"/>
      </w:pPr>
      <w:rPr>
        <w:rFonts w:ascii="Arial" w:hAnsi="Arial" w:hint="default"/>
      </w:rPr>
    </w:lvl>
    <w:lvl w:ilvl="3" w:tplc="39B64F70" w:tentative="1">
      <w:start w:val="1"/>
      <w:numFmt w:val="bullet"/>
      <w:lvlText w:val="•"/>
      <w:lvlJc w:val="left"/>
      <w:pPr>
        <w:tabs>
          <w:tab w:val="num" w:pos="2880"/>
        </w:tabs>
        <w:ind w:left="2880" w:hanging="360"/>
      </w:pPr>
      <w:rPr>
        <w:rFonts w:ascii="Arial" w:hAnsi="Arial" w:hint="default"/>
      </w:rPr>
    </w:lvl>
    <w:lvl w:ilvl="4" w:tplc="02B06E32" w:tentative="1">
      <w:start w:val="1"/>
      <w:numFmt w:val="bullet"/>
      <w:lvlText w:val="•"/>
      <w:lvlJc w:val="left"/>
      <w:pPr>
        <w:tabs>
          <w:tab w:val="num" w:pos="3600"/>
        </w:tabs>
        <w:ind w:left="3600" w:hanging="360"/>
      </w:pPr>
      <w:rPr>
        <w:rFonts w:ascii="Arial" w:hAnsi="Arial" w:hint="default"/>
      </w:rPr>
    </w:lvl>
    <w:lvl w:ilvl="5" w:tplc="DA6E6582" w:tentative="1">
      <w:start w:val="1"/>
      <w:numFmt w:val="bullet"/>
      <w:lvlText w:val="•"/>
      <w:lvlJc w:val="left"/>
      <w:pPr>
        <w:tabs>
          <w:tab w:val="num" w:pos="4320"/>
        </w:tabs>
        <w:ind w:left="4320" w:hanging="360"/>
      </w:pPr>
      <w:rPr>
        <w:rFonts w:ascii="Arial" w:hAnsi="Arial" w:hint="default"/>
      </w:rPr>
    </w:lvl>
    <w:lvl w:ilvl="6" w:tplc="B7720472" w:tentative="1">
      <w:start w:val="1"/>
      <w:numFmt w:val="bullet"/>
      <w:lvlText w:val="•"/>
      <w:lvlJc w:val="left"/>
      <w:pPr>
        <w:tabs>
          <w:tab w:val="num" w:pos="5040"/>
        </w:tabs>
        <w:ind w:left="5040" w:hanging="360"/>
      </w:pPr>
      <w:rPr>
        <w:rFonts w:ascii="Arial" w:hAnsi="Arial" w:hint="default"/>
      </w:rPr>
    </w:lvl>
    <w:lvl w:ilvl="7" w:tplc="E5EC30EC" w:tentative="1">
      <w:start w:val="1"/>
      <w:numFmt w:val="bullet"/>
      <w:lvlText w:val="•"/>
      <w:lvlJc w:val="left"/>
      <w:pPr>
        <w:tabs>
          <w:tab w:val="num" w:pos="5760"/>
        </w:tabs>
        <w:ind w:left="5760" w:hanging="360"/>
      </w:pPr>
      <w:rPr>
        <w:rFonts w:ascii="Arial" w:hAnsi="Arial" w:hint="default"/>
      </w:rPr>
    </w:lvl>
    <w:lvl w:ilvl="8" w:tplc="4BD45226" w:tentative="1">
      <w:start w:val="1"/>
      <w:numFmt w:val="bullet"/>
      <w:lvlText w:val="•"/>
      <w:lvlJc w:val="left"/>
      <w:pPr>
        <w:tabs>
          <w:tab w:val="num" w:pos="6480"/>
        </w:tabs>
        <w:ind w:left="6480" w:hanging="360"/>
      </w:pPr>
      <w:rPr>
        <w:rFonts w:ascii="Arial" w:hAnsi="Arial" w:hint="default"/>
      </w:rPr>
    </w:lvl>
  </w:abstractNum>
  <w:abstractNum w:abstractNumId="6">
    <w:nsid w:val="2ECC7B8A"/>
    <w:multiLevelType w:val="hybridMultilevel"/>
    <w:tmpl w:val="6CFED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910EA3"/>
    <w:multiLevelType w:val="hybridMultilevel"/>
    <w:tmpl w:val="7E28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016C33"/>
    <w:multiLevelType w:val="hybridMultilevel"/>
    <w:tmpl w:val="6B68D33E"/>
    <w:lvl w:ilvl="0" w:tplc="6C464222">
      <w:start w:val="1"/>
      <w:numFmt w:val="bullet"/>
      <w:lvlText w:val=""/>
      <w:lvlPicBulletId w:val="0"/>
      <w:lvlJc w:val="left"/>
      <w:pPr>
        <w:tabs>
          <w:tab w:val="num" w:pos="720"/>
        </w:tabs>
        <w:ind w:left="720" w:hanging="360"/>
      </w:pPr>
      <w:rPr>
        <w:rFonts w:ascii="Symbol" w:hAnsi="Symbol" w:hint="default"/>
      </w:rPr>
    </w:lvl>
    <w:lvl w:ilvl="1" w:tplc="73528FC4" w:tentative="1">
      <w:start w:val="1"/>
      <w:numFmt w:val="bullet"/>
      <w:lvlText w:val=""/>
      <w:lvlJc w:val="left"/>
      <w:pPr>
        <w:tabs>
          <w:tab w:val="num" w:pos="1440"/>
        </w:tabs>
        <w:ind w:left="1440" w:hanging="360"/>
      </w:pPr>
      <w:rPr>
        <w:rFonts w:ascii="Symbol" w:hAnsi="Symbol" w:hint="default"/>
      </w:rPr>
    </w:lvl>
    <w:lvl w:ilvl="2" w:tplc="ECF63074" w:tentative="1">
      <w:start w:val="1"/>
      <w:numFmt w:val="bullet"/>
      <w:lvlText w:val=""/>
      <w:lvlJc w:val="left"/>
      <w:pPr>
        <w:tabs>
          <w:tab w:val="num" w:pos="2160"/>
        </w:tabs>
        <w:ind w:left="2160" w:hanging="360"/>
      </w:pPr>
      <w:rPr>
        <w:rFonts w:ascii="Symbol" w:hAnsi="Symbol" w:hint="default"/>
      </w:rPr>
    </w:lvl>
    <w:lvl w:ilvl="3" w:tplc="21C00E98" w:tentative="1">
      <w:start w:val="1"/>
      <w:numFmt w:val="bullet"/>
      <w:lvlText w:val=""/>
      <w:lvlJc w:val="left"/>
      <w:pPr>
        <w:tabs>
          <w:tab w:val="num" w:pos="2880"/>
        </w:tabs>
        <w:ind w:left="2880" w:hanging="360"/>
      </w:pPr>
      <w:rPr>
        <w:rFonts w:ascii="Symbol" w:hAnsi="Symbol" w:hint="default"/>
      </w:rPr>
    </w:lvl>
    <w:lvl w:ilvl="4" w:tplc="5FF4AEEC" w:tentative="1">
      <w:start w:val="1"/>
      <w:numFmt w:val="bullet"/>
      <w:lvlText w:val=""/>
      <w:lvlJc w:val="left"/>
      <w:pPr>
        <w:tabs>
          <w:tab w:val="num" w:pos="3600"/>
        </w:tabs>
        <w:ind w:left="3600" w:hanging="360"/>
      </w:pPr>
      <w:rPr>
        <w:rFonts w:ascii="Symbol" w:hAnsi="Symbol" w:hint="default"/>
      </w:rPr>
    </w:lvl>
    <w:lvl w:ilvl="5" w:tplc="1A48C3CA" w:tentative="1">
      <w:start w:val="1"/>
      <w:numFmt w:val="bullet"/>
      <w:lvlText w:val=""/>
      <w:lvlJc w:val="left"/>
      <w:pPr>
        <w:tabs>
          <w:tab w:val="num" w:pos="4320"/>
        </w:tabs>
        <w:ind w:left="4320" w:hanging="360"/>
      </w:pPr>
      <w:rPr>
        <w:rFonts w:ascii="Symbol" w:hAnsi="Symbol" w:hint="default"/>
      </w:rPr>
    </w:lvl>
    <w:lvl w:ilvl="6" w:tplc="9BBE3F8A" w:tentative="1">
      <w:start w:val="1"/>
      <w:numFmt w:val="bullet"/>
      <w:lvlText w:val=""/>
      <w:lvlJc w:val="left"/>
      <w:pPr>
        <w:tabs>
          <w:tab w:val="num" w:pos="5040"/>
        </w:tabs>
        <w:ind w:left="5040" w:hanging="360"/>
      </w:pPr>
      <w:rPr>
        <w:rFonts w:ascii="Symbol" w:hAnsi="Symbol" w:hint="default"/>
      </w:rPr>
    </w:lvl>
    <w:lvl w:ilvl="7" w:tplc="12AA4F82" w:tentative="1">
      <w:start w:val="1"/>
      <w:numFmt w:val="bullet"/>
      <w:lvlText w:val=""/>
      <w:lvlJc w:val="left"/>
      <w:pPr>
        <w:tabs>
          <w:tab w:val="num" w:pos="5760"/>
        </w:tabs>
        <w:ind w:left="5760" w:hanging="360"/>
      </w:pPr>
      <w:rPr>
        <w:rFonts w:ascii="Symbol" w:hAnsi="Symbol" w:hint="default"/>
      </w:rPr>
    </w:lvl>
    <w:lvl w:ilvl="8" w:tplc="A8AEAEB0" w:tentative="1">
      <w:start w:val="1"/>
      <w:numFmt w:val="bullet"/>
      <w:lvlText w:val=""/>
      <w:lvlJc w:val="left"/>
      <w:pPr>
        <w:tabs>
          <w:tab w:val="num" w:pos="6480"/>
        </w:tabs>
        <w:ind w:left="6480" w:hanging="360"/>
      </w:pPr>
      <w:rPr>
        <w:rFonts w:ascii="Symbol" w:hAnsi="Symbol" w:hint="default"/>
      </w:rPr>
    </w:lvl>
  </w:abstractNum>
  <w:abstractNum w:abstractNumId="14">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14"/>
  </w:num>
  <w:num w:numId="5">
    <w:abstractNumId w:val="2"/>
  </w:num>
  <w:num w:numId="6">
    <w:abstractNumId w:val="7"/>
  </w:num>
  <w:num w:numId="7">
    <w:abstractNumId w:val="10"/>
  </w:num>
  <w:num w:numId="8">
    <w:abstractNumId w:val="4"/>
  </w:num>
  <w:num w:numId="9">
    <w:abstractNumId w:val="8"/>
  </w:num>
  <w:num w:numId="10">
    <w:abstractNumId w:val="5"/>
  </w:num>
  <w:num w:numId="11">
    <w:abstractNumId w:val="9"/>
  </w:num>
  <w:num w:numId="12">
    <w:abstractNumId w:val="3"/>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2945EA"/>
    <w:rsid w:val="002E3194"/>
    <w:rsid w:val="003F783A"/>
    <w:rsid w:val="00460237"/>
    <w:rsid w:val="005E4137"/>
    <w:rsid w:val="00702727"/>
    <w:rsid w:val="007715AC"/>
    <w:rsid w:val="00795242"/>
    <w:rsid w:val="0098369C"/>
    <w:rsid w:val="00AE6203"/>
    <w:rsid w:val="00B47DA0"/>
    <w:rsid w:val="00B545AB"/>
    <w:rsid w:val="00C212ED"/>
    <w:rsid w:val="00CB41D7"/>
    <w:rsid w:val="00E40C2C"/>
    <w:rsid w:val="00F063AF"/>
    <w:rsid w:val="00F32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styleId="CommentText">
    <w:name w:val="annotation text"/>
    <w:basedOn w:val="Normal"/>
    <w:link w:val="CommentTextChar"/>
    <w:uiPriority w:val="99"/>
    <w:semiHidden/>
    <w:unhideWhenUsed/>
    <w:rsid w:val="00795242"/>
    <w:rPr>
      <w:sz w:val="20"/>
      <w:szCs w:val="20"/>
    </w:rPr>
  </w:style>
  <w:style w:type="character" w:customStyle="1" w:styleId="CommentTextChar">
    <w:name w:val="Comment Text Char"/>
    <w:basedOn w:val="DefaultParagraphFont"/>
    <w:link w:val="CommentText"/>
    <w:uiPriority w:val="99"/>
    <w:semiHidden/>
    <w:rsid w:val="00795242"/>
    <w:rPr>
      <w:sz w:val="20"/>
      <w:szCs w:val="20"/>
    </w:rPr>
  </w:style>
  <w:style w:type="character" w:styleId="Hyperlink">
    <w:name w:val="Hyperlink"/>
    <w:uiPriority w:val="99"/>
    <w:unhideWhenUsed/>
    <w:rsid w:val="00795242"/>
    <w:rPr>
      <w:color w:val="0000FF"/>
      <w:u w:val="single"/>
    </w:rPr>
  </w:style>
  <w:style w:type="paragraph" w:styleId="ListParagraph">
    <w:name w:val="List Paragraph"/>
    <w:basedOn w:val="Normal"/>
    <w:uiPriority w:val="34"/>
    <w:qFormat/>
    <w:rsid w:val="00AE6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styleId="CommentText">
    <w:name w:val="annotation text"/>
    <w:basedOn w:val="Normal"/>
    <w:link w:val="CommentTextChar"/>
    <w:uiPriority w:val="99"/>
    <w:semiHidden/>
    <w:unhideWhenUsed/>
    <w:rsid w:val="00795242"/>
    <w:rPr>
      <w:sz w:val="20"/>
      <w:szCs w:val="20"/>
    </w:rPr>
  </w:style>
  <w:style w:type="character" w:customStyle="1" w:styleId="CommentTextChar">
    <w:name w:val="Comment Text Char"/>
    <w:basedOn w:val="DefaultParagraphFont"/>
    <w:link w:val="CommentText"/>
    <w:uiPriority w:val="99"/>
    <w:semiHidden/>
    <w:rsid w:val="00795242"/>
    <w:rPr>
      <w:sz w:val="20"/>
      <w:szCs w:val="20"/>
    </w:rPr>
  </w:style>
  <w:style w:type="character" w:styleId="Hyperlink">
    <w:name w:val="Hyperlink"/>
    <w:uiPriority w:val="99"/>
    <w:unhideWhenUsed/>
    <w:rsid w:val="00795242"/>
    <w:rPr>
      <w:color w:val="0000FF"/>
      <w:u w:val="single"/>
    </w:rPr>
  </w:style>
  <w:style w:type="paragraph" w:styleId="ListParagraph">
    <w:name w:val="List Paragraph"/>
    <w:basedOn w:val="Normal"/>
    <w:uiPriority w:val="34"/>
    <w:qFormat/>
    <w:rsid w:val="00AE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r.vic.gov.au/Website/maps.nsf/4da9ba0a24099e824a256972008173d1/b4f2da72cd4fa3b2ca257a6300221b1b?OpenDocu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fahcsia.gov.au/our-responsibilities/communities-and-vulnerable-people/programs-services/gambling" TargetMode="External"/><Relationship Id="rId1" Type="http://schemas.openxmlformats.org/officeDocument/2006/relationships/hyperlink" Target="http://www.responsiblegambling.vic.gov.au/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64066795.dotm</Template>
  <TotalTime>11</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7</cp:revision>
  <cp:lastPrinted>2014-08-28T04:30:00Z</cp:lastPrinted>
  <dcterms:created xsi:type="dcterms:W3CDTF">2014-08-27T08:19:00Z</dcterms:created>
  <dcterms:modified xsi:type="dcterms:W3CDTF">2014-08-28T04:31:00Z</dcterms:modified>
</cp:coreProperties>
</file>