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34" w:rsidRDefault="002D741B" w:rsidP="00F3282B">
      <w:pPr>
        <w:ind w:left="-1800" w:right="-1800" w:firstLine="1800"/>
        <w:rPr>
          <w:lang w:val="en-AU"/>
        </w:rPr>
      </w:pPr>
      <w:bookmarkStart w:id="0" w:name="_GoBack"/>
      <w:bookmarkEnd w:id="0"/>
      <w:r>
        <w:rPr>
          <w:rFonts w:ascii="Arial" w:hAnsi="Arial" w:cs="Arial"/>
          <w:sz w:val="20"/>
          <w:lang w:val="en-AU"/>
        </w:rPr>
        <w:t>ADVOCACY FACT SHEET 9</w:t>
      </w:r>
    </w:p>
    <w:p w:rsidR="00F73C34" w:rsidRDefault="00F73C34" w:rsidP="00F3282B">
      <w:pPr>
        <w:ind w:left="-1800" w:right="-1800" w:firstLine="1800"/>
        <w:rPr>
          <w:lang w:val="en-AU"/>
        </w:rPr>
      </w:pPr>
    </w:p>
    <w:p w:rsidR="00F73C34" w:rsidRDefault="00F73C34" w:rsidP="00F3282B">
      <w:pPr>
        <w:ind w:left="-1800" w:right="-1800" w:firstLine="1800"/>
        <w:rPr>
          <w:lang w:val="en-AU"/>
        </w:rPr>
      </w:pPr>
    </w:p>
    <w:p w:rsidR="00F73C34" w:rsidRPr="00A15FD9" w:rsidRDefault="00F73C34" w:rsidP="00F73C34">
      <w:pPr>
        <w:pStyle w:val="Title"/>
        <w:pBdr>
          <w:bottom w:val="single" w:sz="8" w:space="11" w:color="4F81BD" w:themeColor="accent1"/>
        </w:pBdr>
        <w:rPr>
          <w:rFonts w:ascii="Arial" w:hAnsi="Arial" w:cs="Arial"/>
          <w:sz w:val="44"/>
          <w:szCs w:val="44"/>
        </w:rPr>
      </w:pPr>
      <w:r>
        <w:rPr>
          <w:rFonts w:ascii="Arial" w:hAnsi="Arial" w:cs="Arial"/>
          <w:sz w:val="44"/>
          <w:szCs w:val="44"/>
        </w:rPr>
        <w:t>Children and Families - Prevention and Early Intervention in the Early Years</w:t>
      </w:r>
    </w:p>
    <w:p w:rsidR="00F73C34" w:rsidRPr="00F73C34" w:rsidRDefault="00F73C34" w:rsidP="00F73C34">
      <w:pPr>
        <w:spacing w:line="280" w:lineRule="atLeast"/>
        <w:contextualSpacing/>
        <w:jc w:val="both"/>
        <w:rPr>
          <w:rFonts w:ascii="Arial" w:eastAsia="Times New Roman" w:hAnsi="Arial" w:cs="Arial"/>
          <w:b/>
          <w:color w:val="17365D" w:themeColor="text2" w:themeShade="BF"/>
          <w:sz w:val="22"/>
          <w:szCs w:val="22"/>
          <w:lang w:val="en-GB" w:eastAsia="en-AU"/>
        </w:rPr>
      </w:pPr>
      <w:r w:rsidRPr="00F73C34">
        <w:rPr>
          <w:rFonts w:ascii="Arial" w:eastAsia="Times New Roman" w:hAnsi="Arial" w:cs="Arial"/>
          <w:b/>
          <w:color w:val="17365D" w:themeColor="text2" w:themeShade="BF"/>
          <w:sz w:val="22"/>
          <w:szCs w:val="22"/>
          <w:lang w:val="en-GB" w:eastAsia="en-AU"/>
        </w:rPr>
        <w:t xml:space="preserve">Whittlesea Community Futures is seeking funding and support for a three year pilot project to establish prevention and early intervention strategies for children and families in the early years. To prevent the City of Whittlesea becoming entrenched in generational disadvantage and vulnerability, a strengths-based preventative approach is necessary, possible and timely. </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What is happening right now?</w:t>
      </w:r>
    </w:p>
    <w:p w:rsidR="00F73C34" w:rsidRPr="00F73C34" w:rsidRDefault="00F73C34" w:rsidP="00F73C34">
      <w:pPr>
        <w:spacing w:line="280" w:lineRule="atLeast"/>
        <w:contextualSpacing/>
        <w:jc w:val="both"/>
        <w:rPr>
          <w:rFonts w:ascii="Arial" w:hAnsi="Arial" w:cs="Arial"/>
          <w:sz w:val="22"/>
          <w:szCs w:val="22"/>
        </w:rPr>
      </w:pPr>
    </w:p>
    <w:p w:rsidR="00F73C34" w:rsidRPr="00F73C34" w:rsidRDefault="00F73C34" w:rsidP="00F73C34">
      <w:pPr>
        <w:spacing w:line="280" w:lineRule="atLeast"/>
        <w:contextualSpacing/>
        <w:jc w:val="both"/>
        <w:rPr>
          <w:rFonts w:ascii="Arial" w:hAnsi="Arial" w:cs="Arial"/>
          <w:sz w:val="22"/>
          <w:szCs w:val="22"/>
        </w:rPr>
      </w:pPr>
      <w:r w:rsidRPr="00F73C34">
        <w:rPr>
          <w:rFonts w:ascii="Arial" w:hAnsi="Arial" w:cs="Arial"/>
          <w:sz w:val="22"/>
          <w:szCs w:val="22"/>
        </w:rPr>
        <w:t xml:space="preserve">Local families face complex issues and the City of </w:t>
      </w:r>
      <w:proofErr w:type="spellStart"/>
      <w:r w:rsidRPr="00F73C34">
        <w:rPr>
          <w:rFonts w:ascii="Arial" w:hAnsi="Arial" w:cs="Arial"/>
          <w:sz w:val="22"/>
          <w:szCs w:val="22"/>
        </w:rPr>
        <w:t>Whittlesea’s</w:t>
      </w:r>
      <w:proofErr w:type="spellEnd"/>
      <w:r w:rsidRPr="00F73C34">
        <w:rPr>
          <w:rFonts w:ascii="Arial" w:hAnsi="Arial" w:cs="Arial"/>
          <w:sz w:val="22"/>
          <w:szCs w:val="22"/>
        </w:rPr>
        <w:t xml:space="preserve"> rapid population growth combined with the lack of locally based community support services is resulting in increased demand for education, health, social and other services. There are long waiting lists across the municipality for existing services. </w:t>
      </w:r>
    </w:p>
    <w:p w:rsidR="00F73C34" w:rsidRPr="00F73C34" w:rsidRDefault="00F73C34" w:rsidP="00F73C34">
      <w:pPr>
        <w:spacing w:line="280" w:lineRule="atLeast"/>
        <w:contextualSpacing/>
        <w:jc w:val="both"/>
        <w:rPr>
          <w:rFonts w:ascii="Arial" w:hAnsi="Arial" w:cs="Arial"/>
          <w:sz w:val="22"/>
          <w:szCs w:val="22"/>
        </w:rPr>
      </w:pPr>
    </w:p>
    <w:p w:rsidR="00F73C34" w:rsidRPr="00F73C34" w:rsidRDefault="00F73C34" w:rsidP="00F73C34">
      <w:pPr>
        <w:spacing w:line="280" w:lineRule="atLeast"/>
        <w:contextualSpacing/>
        <w:jc w:val="both"/>
        <w:rPr>
          <w:rFonts w:ascii="Arial" w:hAnsi="Arial" w:cs="Arial"/>
          <w:sz w:val="22"/>
          <w:szCs w:val="22"/>
        </w:rPr>
      </w:pPr>
      <w:r w:rsidRPr="00F73C34">
        <w:rPr>
          <w:rFonts w:ascii="Arial" w:hAnsi="Arial" w:cs="Arial"/>
          <w:sz w:val="22"/>
          <w:szCs w:val="22"/>
        </w:rPr>
        <w:t xml:space="preserve">There is entrenched, generational disadvantage evident in our established suburbs. There are significant early indicators that similar disadvantage is developing in growth areas. The City of </w:t>
      </w:r>
      <w:proofErr w:type="spellStart"/>
      <w:r w:rsidRPr="00F73C34">
        <w:rPr>
          <w:rFonts w:ascii="Arial" w:hAnsi="Arial" w:cs="Arial"/>
          <w:sz w:val="22"/>
          <w:szCs w:val="22"/>
        </w:rPr>
        <w:t>Whittlesea’s</w:t>
      </w:r>
      <w:proofErr w:type="spellEnd"/>
      <w:r w:rsidRPr="00F73C34">
        <w:rPr>
          <w:rFonts w:ascii="Arial" w:hAnsi="Arial" w:cs="Arial"/>
          <w:sz w:val="22"/>
          <w:szCs w:val="22"/>
        </w:rPr>
        <w:t xml:space="preserve"> (CoW) population is forecast to increase from 176,595 to more than 297,151 by 2031, an average annual growth rate of 3.34 per cent. The most significant population growth over the next three years is forecast to be in the early years (0-8) and middle years (9-12) cohorts and those aged between 35 and 49 years</w:t>
      </w:r>
      <w:r w:rsidRPr="00F73C34">
        <w:rPr>
          <w:rStyle w:val="EndnoteReference"/>
          <w:rFonts w:ascii="Arial" w:hAnsi="Arial" w:cs="Arial"/>
          <w:sz w:val="22"/>
          <w:szCs w:val="22"/>
        </w:rPr>
        <w:endnoteReference w:id="1"/>
      </w:r>
      <w:r w:rsidRPr="00F73C34">
        <w:rPr>
          <w:rFonts w:ascii="Arial" w:hAnsi="Arial" w:cs="Arial"/>
          <w:sz w:val="22"/>
          <w:szCs w:val="22"/>
        </w:rPr>
        <w:t>.</w:t>
      </w:r>
    </w:p>
    <w:p w:rsidR="00F73C34" w:rsidRPr="00F73C34" w:rsidRDefault="00F73C34" w:rsidP="00F73C34">
      <w:pPr>
        <w:spacing w:line="280" w:lineRule="atLeast"/>
        <w:contextualSpacing/>
        <w:jc w:val="both"/>
        <w:rPr>
          <w:rFonts w:ascii="Arial" w:hAnsi="Arial" w:cs="Arial"/>
          <w:color w:val="000000" w:themeColor="text1"/>
          <w:sz w:val="22"/>
          <w:szCs w:val="22"/>
        </w:rPr>
      </w:pPr>
    </w:p>
    <w:p w:rsidR="00F73C34" w:rsidRPr="00F73C34" w:rsidRDefault="00F73C34" w:rsidP="004E1C41">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 xml:space="preserve">Some of the preventable issues facing children and their families across the municipality include: </w:t>
      </w:r>
    </w:p>
    <w:p w:rsidR="00F73C34" w:rsidRPr="00F73C34" w:rsidRDefault="00F73C34" w:rsidP="004E1C41">
      <w:pPr>
        <w:spacing w:line="280" w:lineRule="atLeast"/>
        <w:contextualSpacing/>
        <w:jc w:val="both"/>
        <w:rPr>
          <w:rFonts w:ascii="Arial" w:hAnsi="Arial" w:cs="Arial"/>
          <w:color w:val="000000" w:themeColor="text1"/>
          <w:sz w:val="22"/>
          <w:szCs w:val="22"/>
        </w:rPr>
      </w:pPr>
    </w:p>
    <w:p w:rsidR="00F73C34" w:rsidRDefault="00F73C34" w:rsidP="004E1C41">
      <w:pPr>
        <w:pStyle w:val="ListParagraph"/>
        <w:numPr>
          <w:ilvl w:val="0"/>
          <w:numId w:val="10"/>
        </w:numPr>
        <w:spacing w:after="0" w:line="280" w:lineRule="atLeast"/>
        <w:ind w:left="714" w:hanging="357"/>
        <w:jc w:val="both"/>
        <w:rPr>
          <w:rFonts w:ascii="Arial" w:hAnsi="Arial" w:cs="Arial"/>
          <w:color w:val="000000" w:themeColor="text1"/>
        </w:rPr>
      </w:pPr>
      <w:r w:rsidRPr="00F73C34">
        <w:rPr>
          <w:rFonts w:ascii="Arial" w:hAnsi="Arial" w:cs="Arial"/>
          <w:b/>
          <w:color w:val="000000" w:themeColor="text1"/>
        </w:rPr>
        <w:t>Low rates of breastfeeding:</w:t>
      </w:r>
      <w:r w:rsidRPr="00F73C34">
        <w:rPr>
          <w:rFonts w:ascii="Arial" w:hAnsi="Arial" w:cs="Arial"/>
          <w:color w:val="000000" w:themeColor="text1"/>
        </w:rPr>
        <w:t xml:space="preserve"> Only 38.6% of children are fully breastfed at 3 months compared to 51.4% in Victoria</w:t>
      </w:r>
      <w:r w:rsidRPr="00F73C34">
        <w:rPr>
          <w:rStyle w:val="EndnoteReference"/>
          <w:rFonts w:ascii="Arial" w:hAnsi="Arial" w:cs="Arial"/>
          <w:color w:val="000000" w:themeColor="text1"/>
        </w:rPr>
        <w:endnoteReference w:id="2"/>
      </w:r>
      <w:r w:rsidRPr="00F73C34">
        <w:rPr>
          <w:rFonts w:ascii="Arial" w:hAnsi="Arial" w:cs="Arial"/>
          <w:color w:val="000000" w:themeColor="text1"/>
        </w:rPr>
        <w:t>.</w:t>
      </w:r>
    </w:p>
    <w:p w:rsidR="00F73C34" w:rsidRPr="00F73C34" w:rsidRDefault="00F73C34" w:rsidP="004E1C41">
      <w:pPr>
        <w:pStyle w:val="ListParagraph"/>
        <w:spacing w:after="0" w:line="280" w:lineRule="atLeast"/>
        <w:ind w:left="714"/>
        <w:jc w:val="both"/>
        <w:rPr>
          <w:rFonts w:ascii="Arial" w:hAnsi="Arial" w:cs="Arial"/>
          <w:color w:val="000000" w:themeColor="text1"/>
        </w:rPr>
      </w:pPr>
    </w:p>
    <w:p w:rsidR="00F73C34" w:rsidRPr="00F73C34" w:rsidRDefault="00F73C34" w:rsidP="004E1C41">
      <w:pPr>
        <w:pStyle w:val="ListParagraph"/>
        <w:numPr>
          <w:ilvl w:val="0"/>
          <w:numId w:val="10"/>
        </w:numPr>
        <w:spacing w:after="0" w:line="280" w:lineRule="atLeast"/>
        <w:ind w:left="714" w:hanging="357"/>
        <w:jc w:val="both"/>
        <w:rPr>
          <w:rFonts w:ascii="Arial" w:hAnsi="Arial" w:cs="Arial"/>
          <w:color w:val="000000" w:themeColor="text1"/>
        </w:rPr>
      </w:pPr>
      <w:r w:rsidRPr="00F73C34">
        <w:rPr>
          <w:rFonts w:ascii="Arial" w:hAnsi="Arial" w:cs="Arial"/>
          <w:b/>
          <w:shd w:val="clear" w:color="auto" w:fill="FFFFFF"/>
        </w:rPr>
        <w:t>Child vulnerability:</w:t>
      </w:r>
      <w:r w:rsidRPr="00F73C34">
        <w:rPr>
          <w:rFonts w:ascii="Arial" w:hAnsi="Arial" w:cs="Arial"/>
          <w:shd w:val="clear" w:color="auto" w:fill="FFFFFF"/>
        </w:rPr>
        <w:t xml:space="preserve"> In 2012, 489 families were referred to the Enhanced Maternal and Child Health service for more intensive service and support</w:t>
      </w:r>
      <w:r w:rsidRPr="00F73C34">
        <w:rPr>
          <w:rStyle w:val="EndnoteReference"/>
          <w:rFonts w:ascii="Arial" w:hAnsi="Arial" w:cs="Arial"/>
          <w:shd w:val="clear" w:color="auto" w:fill="FFFFFF"/>
        </w:rPr>
        <w:endnoteReference w:id="3"/>
      </w:r>
      <w:r w:rsidRPr="00F73C34">
        <w:rPr>
          <w:rFonts w:ascii="Arial" w:hAnsi="Arial" w:cs="Arial"/>
          <w:shd w:val="clear" w:color="auto" w:fill="FFFFFF"/>
        </w:rPr>
        <w:t>.</w:t>
      </w:r>
    </w:p>
    <w:p w:rsidR="00F73C34" w:rsidRPr="00F73C34" w:rsidRDefault="00F73C34" w:rsidP="004E1C41">
      <w:pPr>
        <w:pStyle w:val="ListParagraph"/>
        <w:spacing w:after="0" w:line="280" w:lineRule="atLeast"/>
        <w:ind w:left="714"/>
        <w:jc w:val="both"/>
        <w:rPr>
          <w:rFonts w:ascii="Arial" w:hAnsi="Arial" w:cs="Arial"/>
          <w:color w:val="000000" w:themeColor="text1"/>
        </w:rPr>
      </w:pPr>
    </w:p>
    <w:p w:rsidR="00F73C34" w:rsidRDefault="00F73C34" w:rsidP="004E1C41">
      <w:pPr>
        <w:pStyle w:val="ListParagraph"/>
        <w:numPr>
          <w:ilvl w:val="0"/>
          <w:numId w:val="10"/>
        </w:numPr>
        <w:spacing w:after="0" w:line="280" w:lineRule="atLeast"/>
        <w:ind w:left="714" w:hanging="357"/>
        <w:jc w:val="both"/>
        <w:rPr>
          <w:rFonts w:ascii="Arial" w:hAnsi="Arial" w:cs="Arial"/>
          <w:color w:val="000000" w:themeColor="text1"/>
        </w:rPr>
      </w:pPr>
      <w:r w:rsidRPr="00F73C34">
        <w:rPr>
          <w:rFonts w:ascii="Arial" w:hAnsi="Arial" w:cs="Arial"/>
          <w:b/>
          <w:color w:val="000000" w:themeColor="text1"/>
        </w:rPr>
        <w:t>Developmentally vulnerable children at school entry:</w:t>
      </w:r>
      <w:r w:rsidRPr="00F73C34">
        <w:rPr>
          <w:rFonts w:ascii="Arial" w:hAnsi="Arial" w:cs="Arial"/>
          <w:color w:val="000000" w:themeColor="text1"/>
        </w:rPr>
        <w:t xml:space="preserve"> 22.5% of children start school developmentally vulnerable on one or more of the Australian Early Development Index (AEDI</w:t>
      </w:r>
      <w:proofErr w:type="gramStart"/>
      <w:r w:rsidRPr="00F73C34">
        <w:rPr>
          <w:rFonts w:ascii="Arial" w:hAnsi="Arial" w:cs="Arial"/>
          <w:color w:val="000000" w:themeColor="text1"/>
        </w:rPr>
        <w:t>)</w:t>
      </w:r>
      <w:proofErr w:type="gramEnd"/>
      <w:r w:rsidRPr="00F73C34">
        <w:rPr>
          <w:rStyle w:val="FootnoteReference"/>
          <w:rFonts w:ascii="Arial" w:hAnsi="Arial" w:cs="Arial"/>
          <w:color w:val="000000" w:themeColor="text1"/>
        </w:rPr>
        <w:t xml:space="preserve"> </w:t>
      </w:r>
      <w:r w:rsidRPr="00F73C34">
        <w:rPr>
          <w:rStyle w:val="EndnoteReference"/>
          <w:rFonts w:ascii="Arial" w:hAnsi="Arial" w:cs="Arial"/>
          <w:color w:val="000000" w:themeColor="text1"/>
        </w:rPr>
        <w:endnoteReference w:id="4"/>
      </w:r>
      <w:r w:rsidRPr="00F73C34">
        <w:rPr>
          <w:rFonts w:ascii="Arial" w:hAnsi="Arial" w:cs="Arial"/>
          <w:color w:val="000000" w:themeColor="text1"/>
        </w:rPr>
        <w:t xml:space="preserve">domains. In some suburbs, this is up to 35% of children across established and new growth areas. </w:t>
      </w:r>
    </w:p>
    <w:p w:rsidR="00F73C34" w:rsidRPr="00F73C34" w:rsidRDefault="00F73C34" w:rsidP="004E1C41">
      <w:pPr>
        <w:pStyle w:val="ListParagraph"/>
        <w:jc w:val="both"/>
        <w:rPr>
          <w:rFonts w:ascii="Arial" w:hAnsi="Arial" w:cs="Arial"/>
          <w:color w:val="000000" w:themeColor="text1"/>
        </w:rPr>
      </w:pPr>
    </w:p>
    <w:p w:rsidR="00F73C34" w:rsidRPr="00F73C34" w:rsidRDefault="00F73C34" w:rsidP="004E1C41">
      <w:pPr>
        <w:pStyle w:val="ListParagraph"/>
        <w:numPr>
          <w:ilvl w:val="0"/>
          <w:numId w:val="10"/>
        </w:numPr>
        <w:spacing w:after="0" w:line="280" w:lineRule="atLeast"/>
        <w:ind w:left="714" w:hanging="357"/>
        <w:jc w:val="both"/>
        <w:rPr>
          <w:rFonts w:ascii="Arial" w:hAnsi="Arial" w:cs="Arial"/>
          <w:color w:val="000000" w:themeColor="text1"/>
        </w:rPr>
      </w:pPr>
      <w:r w:rsidRPr="00F73C34">
        <w:rPr>
          <w:rFonts w:ascii="Arial" w:hAnsi="Arial" w:cs="Arial"/>
          <w:b/>
          <w:color w:val="000000" w:themeColor="text1"/>
        </w:rPr>
        <w:t>Child protection and safety concerns:</w:t>
      </w:r>
      <w:r w:rsidRPr="00F73C34">
        <w:rPr>
          <w:rFonts w:ascii="Arial" w:hAnsi="Arial" w:cs="Arial"/>
          <w:color w:val="000000" w:themeColor="text1"/>
        </w:rPr>
        <w:t xml:space="preserve"> There were 109 child protection substantiations </w:t>
      </w:r>
      <w:proofErr w:type="gramStart"/>
      <w:r w:rsidRPr="00F73C34">
        <w:rPr>
          <w:rFonts w:ascii="Arial" w:hAnsi="Arial" w:cs="Arial"/>
          <w:color w:val="000000" w:themeColor="text1"/>
        </w:rPr>
        <w:t>between 2008-09 (5.7% of the 0-8 year olds across the CoW</w:t>
      </w:r>
      <w:r w:rsidRPr="00F73C34">
        <w:rPr>
          <w:rStyle w:val="EndnoteReference"/>
          <w:rFonts w:ascii="Arial" w:hAnsi="Arial" w:cs="Arial"/>
          <w:color w:val="000000" w:themeColor="text1"/>
        </w:rPr>
        <w:endnoteReference w:id="5"/>
      </w:r>
      <w:r w:rsidRPr="00F73C34">
        <w:rPr>
          <w:rFonts w:ascii="Arial" w:hAnsi="Arial" w:cs="Arial"/>
          <w:color w:val="000000" w:themeColor="text1"/>
        </w:rPr>
        <w:t>)</w:t>
      </w:r>
      <w:proofErr w:type="gramEnd"/>
      <w:r w:rsidRPr="00F73C34">
        <w:rPr>
          <w:rFonts w:ascii="Arial" w:hAnsi="Arial" w:cs="Arial"/>
          <w:color w:val="000000" w:themeColor="text1"/>
        </w:rPr>
        <w:t xml:space="preserve">. </w:t>
      </w:r>
      <w:r w:rsidRPr="00F73C34">
        <w:rPr>
          <w:rFonts w:ascii="Arial" w:hAnsi="Arial" w:cs="Arial"/>
          <w:shd w:val="clear" w:color="auto" w:fill="FFFFFF"/>
        </w:rPr>
        <w:t>In the North East Region, Child First received 621 referrals in 2012, 99 more than the previous year. Approximately one third of these were from the CoW</w:t>
      </w:r>
      <w:r w:rsidRPr="00F73C34">
        <w:rPr>
          <w:rStyle w:val="EndnoteReference"/>
          <w:rFonts w:ascii="Arial" w:hAnsi="Arial" w:cs="Arial"/>
          <w:shd w:val="clear" w:color="auto" w:fill="FFFFFF"/>
        </w:rPr>
        <w:endnoteReference w:id="6"/>
      </w:r>
      <w:r w:rsidRPr="00F73C34">
        <w:rPr>
          <w:rFonts w:ascii="Arial" w:hAnsi="Arial" w:cs="Arial"/>
          <w:shd w:val="clear" w:color="auto" w:fill="FFFFFF"/>
        </w:rPr>
        <w:t xml:space="preserve"> .</w:t>
      </w:r>
    </w:p>
    <w:p w:rsidR="00F73C34" w:rsidRPr="00F73C34" w:rsidRDefault="00F73C34" w:rsidP="00F73C34">
      <w:pPr>
        <w:pStyle w:val="ListParagraph"/>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Default="00F73C34" w:rsidP="00F73C34">
      <w:pPr>
        <w:spacing w:line="280" w:lineRule="atLeast"/>
        <w:rPr>
          <w:rFonts w:ascii="Arial" w:hAnsi="Arial" w:cs="Arial"/>
          <w:color w:val="000000" w:themeColor="text1"/>
        </w:rPr>
      </w:pPr>
    </w:p>
    <w:p w:rsidR="00F73C34" w:rsidRPr="00F73C34" w:rsidRDefault="00F73C34" w:rsidP="00F73C34">
      <w:pPr>
        <w:spacing w:line="280" w:lineRule="atLeast"/>
        <w:rPr>
          <w:rFonts w:ascii="Arial" w:hAnsi="Arial" w:cs="Arial"/>
          <w:color w:val="000000" w:themeColor="text1"/>
        </w:rPr>
      </w:pPr>
    </w:p>
    <w:p w:rsidR="00F73C34" w:rsidRPr="00F73C34" w:rsidRDefault="00F73C34" w:rsidP="00F73C34">
      <w:pPr>
        <w:pStyle w:val="ListParagraph"/>
        <w:numPr>
          <w:ilvl w:val="0"/>
          <w:numId w:val="10"/>
        </w:numPr>
        <w:spacing w:after="0" w:line="280" w:lineRule="atLeast"/>
        <w:ind w:left="714" w:hanging="357"/>
        <w:jc w:val="both"/>
        <w:rPr>
          <w:rFonts w:ascii="Arial" w:hAnsi="Arial" w:cs="Arial"/>
          <w:color w:val="000000" w:themeColor="text1"/>
        </w:rPr>
      </w:pPr>
      <w:r w:rsidRPr="00F73C34">
        <w:rPr>
          <w:rFonts w:ascii="Arial" w:hAnsi="Arial" w:cs="Arial"/>
          <w:b/>
        </w:rPr>
        <w:t>High rates of family violence:</w:t>
      </w:r>
      <w:r w:rsidRPr="00F73C34">
        <w:rPr>
          <w:rFonts w:ascii="Arial" w:hAnsi="Arial" w:cs="Arial"/>
        </w:rPr>
        <w:t xml:space="preserve"> The municipality has a higher rate of family violence than the Victorian and regional average. There were 2,110 reported family violence incidents for 2012-2013 across the CoW (1,249 per 100,000 people</w:t>
      </w:r>
      <w:r w:rsidRPr="00F73C34">
        <w:rPr>
          <w:rFonts w:ascii="Arial" w:eastAsia="Times New Roman" w:hAnsi="Arial" w:cs="Arial"/>
          <w:lang w:val="en-US"/>
        </w:rPr>
        <w:t>, higher than the Victorian average of 1,071 and the North West Region 1,052). In Whittlesea 743 children were present at a family violence incident in 2012-13</w:t>
      </w:r>
      <w:r w:rsidRPr="00F73C34">
        <w:rPr>
          <w:rStyle w:val="EndnoteReference"/>
          <w:rFonts w:ascii="Arial" w:eastAsia="Times New Roman" w:hAnsi="Arial" w:cs="Arial"/>
          <w:lang w:val="en-US"/>
        </w:rPr>
        <w:endnoteReference w:id="7"/>
      </w:r>
      <w:r w:rsidRPr="00F73C34">
        <w:rPr>
          <w:rFonts w:ascii="Arial" w:eastAsia="Times New Roman" w:hAnsi="Arial" w:cs="Arial"/>
          <w:lang w:val="en-US"/>
        </w:rPr>
        <w:t xml:space="preserve">. </w:t>
      </w:r>
      <w:r w:rsidRPr="00F73C34">
        <w:rPr>
          <w:rFonts w:ascii="Arial" w:hAnsi="Arial" w:cs="Arial"/>
        </w:rPr>
        <w:t xml:space="preserve">From July 2009 to June 2012, the highest </w:t>
      </w:r>
      <w:proofErr w:type="gramStart"/>
      <w:r w:rsidRPr="00F73C34">
        <w:rPr>
          <w:rFonts w:ascii="Arial" w:hAnsi="Arial" w:cs="Arial"/>
        </w:rPr>
        <w:t>number of Police referrals to the Northern Family &amp; Domestic Violence were</w:t>
      </w:r>
      <w:proofErr w:type="gramEnd"/>
      <w:r w:rsidRPr="00F73C34">
        <w:rPr>
          <w:rFonts w:ascii="Arial" w:hAnsi="Arial" w:cs="Arial"/>
        </w:rPr>
        <w:t xml:space="preserve"> from Whittlesea (from 667 in 2009-10 to 898 in 2011-12</w:t>
      </w:r>
      <w:r w:rsidRPr="00F73C34">
        <w:rPr>
          <w:rStyle w:val="EndnoteReference"/>
          <w:rFonts w:ascii="Arial" w:hAnsi="Arial" w:cs="Arial"/>
        </w:rPr>
        <w:endnoteReference w:id="8"/>
      </w:r>
      <w:r w:rsidRPr="00F73C34">
        <w:rPr>
          <w:rFonts w:ascii="Arial" w:hAnsi="Arial" w:cs="Arial"/>
        </w:rPr>
        <w:t>).</w:t>
      </w:r>
    </w:p>
    <w:p w:rsidR="00F73C34" w:rsidRPr="00F73C34" w:rsidRDefault="00F73C34" w:rsidP="00F73C34">
      <w:pPr>
        <w:spacing w:line="280" w:lineRule="atLeast"/>
        <w:jc w:val="both"/>
        <w:rPr>
          <w:rFonts w:ascii="Arial" w:hAnsi="Arial" w:cs="Arial"/>
          <w:color w:val="000000" w:themeColor="text1"/>
        </w:rPr>
      </w:pPr>
    </w:p>
    <w:p w:rsidR="00F73C34" w:rsidRDefault="00F73C34" w:rsidP="00F73C34">
      <w:pPr>
        <w:pStyle w:val="ListParagraph"/>
        <w:numPr>
          <w:ilvl w:val="0"/>
          <w:numId w:val="10"/>
        </w:numPr>
        <w:spacing w:after="0" w:line="280" w:lineRule="atLeast"/>
        <w:ind w:left="714" w:hanging="357"/>
        <w:jc w:val="both"/>
        <w:rPr>
          <w:rFonts w:ascii="Arial" w:hAnsi="Arial" w:cs="Arial"/>
        </w:rPr>
      </w:pPr>
      <w:r w:rsidRPr="00F73C34">
        <w:rPr>
          <w:rFonts w:ascii="Arial" w:hAnsi="Arial" w:cs="Arial"/>
          <w:b/>
        </w:rPr>
        <w:t>Lack of local employment opportunities:</w:t>
      </w:r>
      <w:r w:rsidRPr="00F73C34">
        <w:rPr>
          <w:rFonts w:ascii="Arial" w:hAnsi="Arial" w:cs="Arial"/>
        </w:rPr>
        <w:t xml:space="preserve"> More than half of local residents (58.3%) travel outside the municipality to work (compared with 49.1% in Hume, 56.0% in Wyndham)</w:t>
      </w:r>
      <w:r w:rsidRPr="00F73C34">
        <w:rPr>
          <w:rStyle w:val="EndnoteReference"/>
          <w:rFonts w:ascii="Arial" w:hAnsi="Arial" w:cs="Arial"/>
        </w:rPr>
        <w:endnoteReference w:id="9"/>
      </w:r>
      <w:r w:rsidRPr="00F73C34">
        <w:rPr>
          <w:rFonts w:ascii="Arial" w:hAnsi="Arial" w:cs="Arial"/>
        </w:rPr>
        <w:t>.</w:t>
      </w:r>
    </w:p>
    <w:p w:rsidR="00F73C34" w:rsidRPr="00F73C34" w:rsidRDefault="00F73C34" w:rsidP="00F73C34">
      <w:pPr>
        <w:pStyle w:val="ListParagraph"/>
        <w:jc w:val="both"/>
        <w:rPr>
          <w:rFonts w:ascii="Arial" w:hAnsi="Arial" w:cs="Arial"/>
        </w:rPr>
      </w:pPr>
    </w:p>
    <w:p w:rsidR="00F73C34" w:rsidRDefault="00F73C34" w:rsidP="00F73C34">
      <w:pPr>
        <w:pStyle w:val="ListParagraph"/>
        <w:numPr>
          <w:ilvl w:val="0"/>
          <w:numId w:val="10"/>
        </w:numPr>
        <w:spacing w:after="0" w:line="280" w:lineRule="atLeast"/>
        <w:ind w:left="714" w:hanging="357"/>
        <w:jc w:val="both"/>
        <w:rPr>
          <w:rFonts w:ascii="Arial" w:hAnsi="Arial" w:cs="Arial"/>
        </w:rPr>
      </w:pPr>
      <w:r w:rsidRPr="00F73C34">
        <w:rPr>
          <w:rFonts w:ascii="Arial" w:hAnsi="Arial" w:cs="Arial"/>
          <w:b/>
        </w:rPr>
        <w:t>Financial stress:</w:t>
      </w:r>
      <w:r w:rsidRPr="00F73C34">
        <w:rPr>
          <w:rFonts w:ascii="Arial" w:hAnsi="Arial" w:cs="Arial"/>
        </w:rPr>
        <w:t xml:space="preserve"> Significant proportions of Whittlesea households spend more than 30% of household income on their mortgage. In 2011 it was 15.9% (compared with 10.1% for Victoria) and substantially higher for some areas of the municipality, such as Mernda (29%) and Doreen (27% in Doreen)</w:t>
      </w:r>
      <w:r w:rsidRPr="00F73C34">
        <w:rPr>
          <w:rStyle w:val="EndnoteReference"/>
          <w:rFonts w:ascii="Arial" w:hAnsi="Arial" w:cs="Arial"/>
        </w:rPr>
        <w:endnoteReference w:id="10"/>
      </w:r>
      <w:r w:rsidRPr="00F73C34">
        <w:rPr>
          <w:rFonts w:ascii="Arial" w:hAnsi="Arial" w:cs="Arial"/>
        </w:rPr>
        <w:t>. A further 30.1% of families are experiencing rental stress compared with 24.9% in Victoria</w:t>
      </w:r>
      <w:r>
        <w:rPr>
          <w:rFonts w:ascii="Arial" w:hAnsi="Arial" w:cs="Arial"/>
        </w:rPr>
        <w:t>.</w:t>
      </w:r>
    </w:p>
    <w:p w:rsidR="00F73C34" w:rsidRPr="00F73C34" w:rsidRDefault="00F73C34" w:rsidP="00F73C34">
      <w:pPr>
        <w:pStyle w:val="ListParagraph"/>
        <w:jc w:val="both"/>
        <w:rPr>
          <w:rFonts w:ascii="Arial" w:hAnsi="Arial" w:cs="Arial"/>
        </w:rPr>
      </w:pPr>
    </w:p>
    <w:p w:rsidR="00F73C34" w:rsidRPr="00F73C34" w:rsidRDefault="00F73C34" w:rsidP="00F73C34">
      <w:pPr>
        <w:pStyle w:val="ListParagraph"/>
        <w:numPr>
          <w:ilvl w:val="0"/>
          <w:numId w:val="15"/>
        </w:numPr>
        <w:spacing w:after="0" w:line="280" w:lineRule="atLeast"/>
        <w:jc w:val="both"/>
        <w:rPr>
          <w:rFonts w:ascii="Arial" w:hAnsi="Arial" w:cs="Arial"/>
          <w:color w:val="000000" w:themeColor="text1"/>
        </w:rPr>
      </w:pPr>
      <w:r w:rsidRPr="00F73C34">
        <w:rPr>
          <w:rFonts w:ascii="Arial" w:hAnsi="Arial" w:cs="Arial"/>
          <w:b/>
        </w:rPr>
        <w:t>Problem gambling:</w:t>
      </w:r>
      <w:r w:rsidRPr="00F73C34">
        <w:rPr>
          <w:rFonts w:ascii="Arial" w:hAnsi="Arial" w:cs="Arial"/>
        </w:rPr>
        <w:t xml:space="preserve"> Whittlesea is ranked 7th highest in Victoria for gaming machine losses</w:t>
      </w:r>
      <w:r w:rsidRPr="00F73C34">
        <w:rPr>
          <w:rStyle w:val="EndnoteReference"/>
          <w:rFonts w:ascii="Arial" w:hAnsi="Arial" w:cs="Arial"/>
        </w:rPr>
        <w:endnoteReference w:id="11"/>
      </w:r>
      <w:r w:rsidRPr="00F73C34">
        <w:rPr>
          <w:rFonts w:ascii="Arial" w:hAnsi="Arial" w:cs="Arial"/>
        </w:rPr>
        <w:t>. In 2012-13, losses per head of adult population were $727, compared with $568 in Victoria.</w:t>
      </w:r>
    </w:p>
    <w:p w:rsidR="00F73C34" w:rsidRPr="00F73C34" w:rsidRDefault="00F73C34" w:rsidP="00F73C34">
      <w:pPr>
        <w:pStyle w:val="ListParagraph"/>
        <w:spacing w:after="0" w:line="280" w:lineRule="atLeast"/>
        <w:jc w:val="both"/>
        <w:rPr>
          <w:rFonts w:ascii="Arial" w:hAnsi="Arial" w:cs="Arial"/>
          <w:color w:val="000000" w:themeColor="text1"/>
        </w:rPr>
      </w:pPr>
      <w:r w:rsidRPr="00F73C34">
        <w:rPr>
          <w:rFonts w:ascii="Arial" w:hAnsi="Arial" w:cs="Arial"/>
        </w:rPr>
        <w:t xml:space="preserve"> </w:t>
      </w:r>
    </w:p>
    <w:p w:rsidR="00F73C34" w:rsidRPr="00F73C34" w:rsidRDefault="00F73C34" w:rsidP="00F73C34">
      <w:pPr>
        <w:pStyle w:val="ListParagraph"/>
        <w:numPr>
          <w:ilvl w:val="0"/>
          <w:numId w:val="15"/>
        </w:numPr>
        <w:spacing w:after="0" w:line="280" w:lineRule="atLeast"/>
        <w:jc w:val="both"/>
        <w:rPr>
          <w:rFonts w:ascii="Arial" w:hAnsi="Arial" w:cs="Arial"/>
          <w:color w:val="000000" w:themeColor="text1"/>
        </w:rPr>
      </w:pPr>
      <w:r w:rsidRPr="00F73C34">
        <w:rPr>
          <w:rFonts w:ascii="Arial" w:hAnsi="Arial" w:cs="Arial"/>
          <w:b/>
          <w:shd w:val="clear" w:color="auto" w:fill="FFFFFF"/>
        </w:rPr>
        <w:t>Time-poor families:</w:t>
      </w:r>
      <w:r w:rsidRPr="00F73C34">
        <w:rPr>
          <w:rFonts w:ascii="Arial" w:hAnsi="Arial" w:cs="Arial"/>
          <w:shd w:val="clear" w:color="auto" w:fill="FFFFFF"/>
        </w:rPr>
        <w:t xml:space="preserve"> 36% of residents reported not having enough time for family and friends, well above the Victorian average of 27%</w:t>
      </w:r>
      <w:r w:rsidRPr="00F73C34">
        <w:rPr>
          <w:rStyle w:val="EndnoteReference"/>
          <w:rFonts w:ascii="Arial" w:hAnsi="Arial" w:cs="Arial"/>
          <w:shd w:val="clear" w:color="auto" w:fill="FFFFFF"/>
        </w:rPr>
        <w:endnoteReference w:id="12"/>
      </w:r>
      <w:r w:rsidRPr="00F73C34">
        <w:rPr>
          <w:rFonts w:ascii="Arial" w:hAnsi="Arial" w:cs="Arial"/>
          <w:shd w:val="clear" w:color="auto" w:fill="FFFFFF"/>
        </w:rPr>
        <w:t xml:space="preserve">. </w:t>
      </w:r>
      <w:r w:rsidRPr="00F73C34">
        <w:rPr>
          <w:rFonts w:ascii="Arial" w:hAnsi="Arial" w:cs="Arial"/>
          <w:color w:val="000000" w:themeColor="text1"/>
        </w:rPr>
        <w:t xml:space="preserve">Other significant issues impacting on children, young people and families in the municipality include social isolation and large parts of the population from historically vulnerable groups, including culturally and linguistically diverse and Aboriginal and Torres Strait Islanders. </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How can we build a better future?</w:t>
      </w:r>
    </w:p>
    <w:p w:rsidR="00F73C34" w:rsidRPr="00F73C34" w:rsidRDefault="00F73C34" w:rsidP="00F73C34">
      <w:pPr>
        <w:spacing w:line="280" w:lineRule="atLeast"/>
        <w:contextualSpacing/>
        <w:jc w:val="both"/>
        <w:rPr>
          <w:rFonts w:ascii="Arial" w:hAnsi="Arial" w:cs="Arial"/>
          <w:b/>
          <w:color w:val="0070C0"/>
          <w:sz w:val="22"/>
          <w:szCs w:val="22"/>
        </w:rPr>
      </w:pPr>
    </w:p>
    <w:p w:rsidR="004E1C41" w:rsidRDefault="00F73C34" w:rsidP="00F73C34">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 xml:space="preserve">Funding and resources need to be focused on improving the early experiences of our most vulnerable children and families (targeted strategies) and also at the wider population (universal strategies) as a preventative measure. The issues facing our community are multifaceted, and a multifaceted approach with action across a spectrum of strategies is </w:t>
      </w:r>
      <w:proofErr w:type="gramStart"/>
      <w:r w:rsidRPr="00F73C34">
        <w:rPr>
          <w:rFonts w:ascii="Arial" w:hAnsi="Arial" w:cs="Arial"/>
          <w:color w:val="000000" w:themeColor="text1"/>
          <w:sz w:val="22"/>
          <w:szCs w:val="22"/>
        </w:rPr>
        <w:t>key</w:t>
      </w:r>
      <w:proofErr w:type="gramEnd"/>
      <w:r w:rsidRPr="00F73C34">
        <w:rPr>
          <w:rFonts w:ascii="Arial" w:hAnsi="Arial" w:cs="Arial"/>
          <w:color w:val="000000" w:themeColor="text1"/>
          <w:sz w:val="22"/>
          <w:szCs w:val="22"/>
        </w:rPr>
        <w:t xml:space="preserve"> to improving outcomes for children and their families and ultimately our entire community.</w:t>
      </w:r>
    </w:p>
    <w:p w:rsidR="00F73C34" w:rsidRPr="00F73C34" w:rsidRDefault="00F73C34" w:rsidP="00F73C34">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 xml:space="preserve"> </w:t>
      </w:r>
    </w:p>
    <w:p w:rsidR="00F73C34" w:rsidRDefault="00F73C34" w:rsidP="00F73C34">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There are big differences between the established and growth areas in the municipality, and evidence indicates that place-based approaches are needed to ensure local relevance, community strengthening and more effective support for children and families</w:t>
      </w:r>
      <w:r w:rsidRPr="00F73C34">
        <w:rPr>
          <w:rStyle w:val="EndnoteReference"/>
          <w:rFonts w:ascii="Arial" w:hAnsi="Arial" w:cs="Arial"/>
          <w:color w:val="000000" w:themeColor="text1"/>
          <w:sz w:val="22"/>
          <w:szCs w:val="22"/>
        </w:rPr>
        <w:endnoteReference w:id="13"/>
      </w:r>
      <w:r w:rsidRPr="00F73C34">
        <w:rPr>
          <w:rFonts w:ascii="Arial" w:hAnsi="Arial" w:cs="Arial"/>
          <w:color w:val="000000" w:themeColor="text1"/>
          <w:sz w:val="22"/>
          <w:szCs w:val="22"/>
        </w:rPr>
        <w:t xml:space="preserve">. Preventative and early intervention strategies should include: </w:t>
      </w:r>
    </w:p>
    <w:p w:rsidR="00F73C34" w:rsidRPr="00F73C34" w:rsidRDefault="00F73C34" w:rsidP="00F73C34">
      <w:pPr>
        <w:spacing w:line="280" w:lineRule="atLeast"/>
        <w:contextualSpacing/>
        <w:jc w:val="both"/>
        <w:rPr>
          <w:rFonts w:ascii="Arial" w:hAnsi="Arial" w:cs="Arial"/>
          <w:color w:val="000000" w:themeColor="text1"/>
          <w:sz w:val="22"/>
          <w:szCs w:val="22"/>
        </w:rPr>
      </w:pPr>
    </w:p>
    <w:p w:rsidR="00F73C34" w:rsidRDefault="00F73C34" w:rsidP="004E1C41">
      <w:pPr>
        <w:pStyle w:val="ListParagraph"/>
        <w:numPr>
          <w:ilvl w:val="0"/>
          <w:numId w:val="11"/>
        </w:numPr>
        <w:spacing w:after="0" w:line="280" w:lineRule="atLeast"/>
        <w:jc w:val="both"/>
        <w:rPr>
          <w:rFonts w:ascii="Arial" w:hAnsi="Arial" w:cs="Arial"/>
          <w:shd w:val="clear" w:color="auto" w:fill="FFFFFF"/>
        </w:rPr>
      </w:pPr>
      <w:r w:rsidRPr="00F73C34">
        <w:rPr>
          <w:rFonts w:ascii="Arial" w:hAnsi="Arial" w:cs="Arial"/>
          <w:b/>
          <w:shd w:val="clear" w:color="auto" w:fill="FFFFFF"/>
        </w:rPr>
        <w:t>Universal and targeted approaches</w:t>
      </w:r>
      <w:r w:rsidRPr="00F73C34">
        <w:rPr>
          <w:rFonts w:ascii="Arial" w:hAnsi="Arial" w:cs="Arial"/>
          <w:shd w:val="clear" w:color="auto" w:fill="FFFFFF"/>
        </w:rPr>
        <w:t>: Using universal early childhood development and education services as a platform for engaging children and families in support services, programs</w:t>
      </w:r>
      <w:r>
        <w:rPr>
          <w:rFonts w:ascii="Arial" w:hAnsi="Arial" w:cs="Arial"/>
          <w:shd w:val="clear" w:color="auto" w:fill="FFFFFF"/>
        </w:rPr>
        <w:t xml:space="preserve"> and interventions.</w:t>
      </w: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spacing w:line="280" w:lineRule="atLeast"/>
        <w:rPr>
          <w:rFonts w:ascii="Arial" w:hAnsi="Arial" w:cs="Arial"/>
          <w:shd w:val="clear" w:color="auto" w:fill="FFFFFF"/>
        </w:rPr>
      </w:pPr>
    </w:p>
    <w:p w:rsidR="00F73C34" w:rsidRDefault="00F73C34" w:rsidP="00F73C34">
      <w:pPr>
        <w:pStyle w:val="ListParagraph"/>
        <w:numPr>
          <w:ilvl w:val="0"/>
          <w:numId w:val="11"/>
        </w:numPr>
        <w:spacing w:after="0" w:line="280" w:lineRule="atLeast"/>
        <w:jc w:val="both"/>
        <w:rPr>
          <w:rFonts w:ascii="Arial" w:hAnsi="Arial" w:cs="Arial"/>
          <w:shd w:val="clear" w:color="auto" w:fill="FFFFFF"/>
        </w:rPr>
      </w:pPr>
      <w:r w:rsidRPr="00F73C34">
        <w:rPr>
          <w:rFonts w:ascii="Arial" w:hAnsi="Arial" w:cs="Arial"/>
          <w:b/>
          <w:shd w:val="clear" w:color="auto" w:fill="FFFFFF"/>
        </w:rPr>
        <w:t>Family strengthening:</w:t>
      </w:r>
      <w:r w:rsidRPr="00F73C34">
        <w:rPr>
          <w:rFonts w:ascii="Arial" w:hAnsi="Arial" w:cs="Arial"/>
          <w:shd w:val="clear" w:color="auto" w:fill="FFFFFF"/>
        </w:rPr>
        <w:t xml:space="preserve"> Opportunities for family strengthening through facilitated and community-based playgroups that build social connections, parenting confidence and parent-child relationships, as well as investment in family strengthening workers embedded in communities that can respond to family needs as they move</w:t>
      </w:r>
      <w:r>
        <w:rPr>
          <w:rFonts w:ascii="Arial" w:hAnsi="Arial" w:cs="Arial"/>
          <w:shd w:val="clear" w:color="auto" w:fill="FFFFFF"/>
        </w:rPr>
        <w:t xml:space="preserve"> in and as the population grows.</w:t>
      </w:r>
    </w:p>
    <w:p w:rsidR="00F73C34" w:rsidRPr="00F73C34" w:rsidRDefault="00F73C34" w:rsidP="00F73C34">
      <w:pPr>
        <w:pStyle w:val="ListParagraph"/>
        <w:spacing w:after="0" w:line="280" w:lineRule="atLeast"/>
        <w:rPr>
          <w:rFonts w:ascii="Arial" w:hAnsi="Arial" w:cs="Arial"/>
          <w:shd w:val="clear" w:color="auto" w:fill="FFFFFF"/>
        </w:rPr>
      </w:pPr>
    </w:p>
    <w:p w:rsidR="004E1C41" w:rsidRDefault="00F73C34" w:rsidP="004E1C41">
      <w:pPr>
        <w:pStyle w:val="ListParagraph"/>
        <w:numPr>
          <w:ilvl w:val="0"/>
          <w:numId w:val="11"/>
        </w:numPr>
        <w:spacing w:after="0" w:line="280" w:lineRule="atLeast"/>
        <w:jc w:val="both"/>
        <w:rPr>
          <w:rFonts w:ascii="Arial" w:hAnsi="Arial" w:cs="Arial"/>
          <w:shd w:val="clear" w:color="auto" w:fill="FFFFFF"/>
        </w:rPr>
      </w:pPr>
      <w:r w:rsidRPr="00F73C34">
        <w:rPr>
          <w:rFonts w:ascii="Arial" w:hAnsi="Arial" w:cs="Arial"/>
          <w:b/>
          <w:shd w:val="clear" w:color="auto" w:fill="FFFFFF"/>
        </w:rPr>
        <w:t>Integrated universal and secondary services:</w:t>
      </w:r>
      <w:r w:rsidRPr="00F73C34">
        <w:rPr>
          <w:rFonts w:ascii="Arial" w:hAnsi="Arial" w:cs="Arial"/>
          <w:shd w:val="clear" w:color="auto" w:fill="FFFFFF"/>
        </w:rPr>
        <w:t xml:space="preserve"> Building on existing local service partnerships to trial and evaluate new ways of working across universal and secondary services that can create a continuum of service and support for children and their families</w:t>
      </w:r>
      <w:r w:rsidR="004E1C41">
        <w:rPr>
          <w:rFonts w:ascii="Arial" w:hAnsi="Arial" w:cs="Arial"/>
          <w:shd w:val="clear" w:color="auto" w:fill="FFFFFF"/>
        </w:rPr>
        <w:t>.</w:t>
      </w:r>
    </w:p>
    <w:p w:rsidR="004E1C41" w:rsidRPr="004E1C41" w:rsidRDefault="004E1C41" w:rsidP="004E1C41">
      <w:pPr>
        <w:pStyle w:val="ListParagraph"/>
        <w:rPr>
          <w:rFonts w:ascii="Arial" w:hAnsi="Arial" w:cs="Arial"/>
          <w:shd w:val="clear" w:color="auto" w:fill="FFFFFF"/>
        </w:rPr>
      </w:pPr>
    </w:p>
    <w:p w:rsidR="00F73C34" w:rsidRDefault="00F73C34" w:rsidP="004E1C41">
      <w:pPr>
        <w:pStyle w:val="ListParagraph"/>
        <w:numPr>
          <w:ilvl w:val="0"/>
          <w:numId w:val="11"/>
        </w:numPr>
        <w:spacing w:after="0" w:line="280" w:lineRule="atLeast"/>
        <w:jc w:val="both"/>
        <w:rPr>
          <w:rFonts w:ascii="Arial" w:hAnsi="Arial" w:cs="Arial"/>
          <w:shd w:val="clear" w:color="auto" w:fill="FFFFFF"/>
        </w:rPr>
      </w:pPr>
      <w:r w:rsidRPr="00F73C34">
        <w:rPr>
          <w:rFonts w:ascii="Arial" w:hAnsi="Arial" w:cs="Arial"/>
          <w:b/>
          <w:shd w:val="clear" w:color="auto" w:fill="FFFFFF"/>
        </w:rPr>
        <w:t>Place-based funding</w:t>
      </w:r>
      <w:r w:rsidRPr="00F73C34">
        <w:rPr>
          <w:rFonts w:ascii="Arial" w:hAnsi="Arial" w:cs="Arial"/>
          <w:shd w:val="clear" w:color="auto" w:fill="FFFFFF"/>
        </w:rPr>
        <w:t>: Shared Council-Service-Community responsibility for decision making about resource allocation that can focus on locally relevant priorities and implement community building activities</w:t>
      </w:r>
      <w:r w:rsidR="004E1C41">
        <w:rPr>
          <w:rFonts w:ascii="Arial" w:hAnsi="Arial" w:cs="Arial"/>
          <w:shd w:val="clear" w:color="auto" w:fill="FFFFFF"/>
        </w:rPr>
        <w:t>.</w:t>
      </w:r>
    </w:p>
    <w:p w:rsidR="004E1C41" w:rsidRPr="004E1C41" w:rsidRDefault="004E1C41" w:rsidP="004E1C41">
      <w:pPr>
        <w:pStyle w:val="ListParagraph"/>
        <w:rPr>
          <w:rFonts w:ascii="Arial" w:hAnsi="Arial" w:cs="Arial"/>
          <w:shd w:val="clear" w:color="auto" w:fill="FFFFFF"/>
        </w:rPr>
      </w:pPr>
    </w:p>
    <w:p w:rsidR="00F73C34" w:rsidRPr="00F73C34" w:rsidRDefault="00F73C34" w:rsidP="004E1C41">
      <w:pPr>
        <w:pStyle w:val="ListParagraph"/>
        <w:numPr>
          <w:ilvl w:val="0"/>
          <w:numId w:val="11"/>
        </w:numPr>
        <w:spacing w:after="0" w:line="280" w:lineRule="atLeast"/>
        <w:jc w:val="both"/>
        <w:rPr>
          <w:rFonts w:ascii="Arial" w:hAnsi="Arial" w:cs="Arial"/>
          <w:shd w:val="clear" w:color="auto" w:fill="FFFFFF"/>
        </w:rPr>
      </w:pPr>
      <w:r w:rsidRPr="00F73C34">
        <w:rPr>
          <w:rFonts w:ascii="Arial" w:hAnsi="Arial" w:cs="Arial"/>
          <w:b/>
          <w:shd w:val="clear" w:color="auto" w:fill="FFFFFF"/>
        </w:rPr>
        <w:t>Activating new growth areas:</w:t>
      </w:r>
      <w:r w:rsidRPr="00F73C34">
        <w:rPr>
          <w:rFonts w:ascii="Arial" w:hAnsi="Arial" w:cs="Arial"/>
          <w:shd w:val="clear" w:color="auto" w:fill="FFFFFF"/>
        </w:rPr>
        <w:t xml:space="preserve"> A focus on activating new growth areas from the out-set through early delivery of infrastructure, services and social supports. </w:t>
      </w:r>
    </w:p>
    <w:p w:rsidR="00F73C34" w:rsidRPr="00F73C34" w:rsidRDefault="00F73C34" w:rsidP="00F73C34">
      <w:pPr>
        <w:spacing w:line="280" w:lineRule="atLeast"/>
        <w:contextualSpacing/>
        <w:jc w:val="both"/>
        <w:rPr>
          <w:rFonts w:ascii="Arial" w:hAnsi="Arial" w:cs="Arial"/>
          <w:b/>
          <w:color w:val="0070C0"/>
          <w:sz w:val="22"/>
          <w:szCs w:val="22"/>
        </w:rPr>
      </w:pPr>
    </w:p>
    <w:p w:rsidR="004E1C41" w:rsidRDefault="004E1C41"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What is needed?</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Default="00F73C34" w:rsidP="00F73C34">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A three-year pilot project incorporating universal and targeted approaches comprising:</w:t>
      </w:r>
    </w:p>
    <w:p w:rsidR="004E1C41" w:rsidRPr="00F73C34" w:rsidRDefault="004E1C41" w:rsidP="00F73C34">
      <w:pPr>
        <w:spacing w:line="280" w:lineRule="atLeast"/>
        <w:contextualSpacing/>
        <w:jc w:val="both"/>
        <w:rPr>
          <w:rFonts w:ascii="Arial" w:hAnsi="Arial" w:cs="Arial"/>
          <w:color w:val="000000" w:themeColor="text1"/>
          <w:sz w:val="22"/>
          <w:szCs w:val="22"/>
        </w:rPr>
      </w:pPr>
    </w:p>
    <w:p w:rsidR="00F73C34" w:rsidRPr="00F73C34" w:rsidRDefault="00F73C34" w:rsidP="00F73C34">
      <w:pPr>
        <w:pStyle w:val="ListParagraph"/>
        <w:numPr>
          <w:ilvl w:val="0"/>
          <w:numId w:val="16"/>
        </w:numPr>
        <w:spacing w:after="0" w:line="280" w:lineRule="atLeast"/>
        <w:jc w:val="both"/>
        <w:rPr>
          <w:rFonts w:ascii="Arial" w:hAnsi="Arial" w:cs="Arial"/>
          <w:color w:val="000000" w:themeColor="text1"/>
        </w:rPr>
      </w:pPr>
      <w:r w:rsidRPr="00F73C34">
        <w:rPr>
          <w:rFonts w:ascii="Arial" w:hAnsi="Arial" w:cs="Arial"/>
          <w:color w:val="000000" w:themeColor="text1"/>
        </w:rPr>
        <w:t xml:space="preserve">Family </w:t>
      </w:r>
      <w:r w:rsidRPr="00F73C34">
        <w:rPr>
          <w:rFonts w:ascii="Arial" w:hAnsi="Arial" w:cs="Arial"/>
          <w:color w:val="000000" w:themeColor="text1"/>
          <w:lang w:val="en-GB"/>
        </w:rPr>
        <w:t>Engagement Facilitator/s per suburb in the municipality, focusing on those that are most vulnerable</w:t>
      </w:r>
    </w:p>
    <w:p w:rsidR="00F73C34" w:rsidRPr="00F73C34" w:rsidRDefault="00F73C34" w:rsidP="00F73C34">
      <w:pPr>
        <w:pStyle w:val="ListParagraph"/>
        <w:numPr>
          <w:ilvl w:val="0"/>
          <w:numId w:val="16"/>
        </w:numPr>
        <w:spacing w:after="0" w:line="280" w:lineRule="atLeast"/>
        <w:jc w:val="both"/>
        <w:rPr>
          <w:rFonts w:ascii="Arial" w:hAnsi="Arial" w:cs="Arial"/>
          <w:color w:val="000000" w:themeColor="text1"/>
        </w:rPr>
      </w:pPr>
      <w:r w:rsidRPr="00F73C34">
        <w:rPr>
          <w:rFonts w:ascii="Arial" w:hAnsi="Arial" w:cs="Arial"/>
          <w:color w:val="000000" w:themeColor="text1"/>
          <w:lang w:val="en-GB"/>
        </w:rPr>
        <w:t>Brokerage funding for family strengthening and education programs, resources and service integration</w:t>
      </w:r>
    </w:p>
    <w:p w:rsidR="00F73C34" w:rsidRPr="00F73C34" w:rsidRDefault="00F73C34" w:rsidP="00F73C34">
      <w:pPr>
        <w:pStyle w:val="ListParagraph"/>
        <w:numPr>
          <w:ilvl w:val="0"/>
          <w:numId w:val="16"/>
        </w:numPr>
        <w:spacing w:after="0" w:line="280" w:lineRule="atLeast"/>
        <w:jc w:val="both"/>
        <w:rPr>
          <w:rFonts w:ascii="Arial" w:hAnsi="Arial" w:cs="Arial"/>
          <w:color w:val="000000" w:themeColor="text1"/>
        </w:rPr>
      </w:pPr>
      <w:r w:rsidRPr="00F73C34">
        <w:rPr>
          <w:rFonts w:ascii="Arial" w:hAnsi="Arial" w:cs="Arial"/>
          <w:color w:val="000000" w:themeColor="text1"/>
          <w:lang w:val="en-GB"/>
        </w:rPr>
        <w:t>Local data dashboard to collect and review project data within an action research framework.</w:t>
      </w:r>
    </w:p>
    <w:p w:rsidR="004E1C41" w:rsidRDefault="004E1C41" w:rsidP="00F73C34">
      <w:pPr>
        <w:spacing w:line="280" w:lineRule="atLeast"/>
        <w:contextualSpacing/>
        <w:jc w:val="both"/>
        <w:rPr>
          <w:rFonts w:ascii="Arial" w:hAnsi="Arial" w:cs="Arial"/>
          <w:color w:val="000000" w:themeColor="text1"/>
          <w:sz w:val="22"/>
          <w:szCs w:val="22"/>
        </w:rPr>
      </w:pPr>
    </w:p>
    <w:p w:rsidR="00F73C34" w:rsidRPr="00F73C34" w:rsidRDefault="00F73C34" w:rsidP="00F73C34">
      <w:pPr>
        <w:spacing w:line="280" w:lineRule="atLeast"/>
        <w:contextualSpacing/>
        <w:jc w:val="both"/>
        <w:rPr>
          <w:rFonts w:ascii="Arial" w:hAnsi="Arial" w:cs="Arial"/>
          <w:color w:val="000000" w:themeColor="text1"/>
          <w:sz w:val="22"/>
          <w:szCs w:val="22"/>
        </w:rPr>
      </w:pPr>
      <w:r w:rsidRPr="00F73C34">
        <w:rPr>
          <w:rFonts w:ascii="Arial" w:hAnsi="Arial" w:cs="Arial"/>
          <w:color w:val="000000" w:themeColor="text1"/>
          <w:sz w:val="22"/>
          <w:szCs w:val="22"/>
        </w:rPr>
        <w:t>There are key transition points within the early childhood service system, and some families do not make a smooth transition between services and some are reluctant to engage in such services at all. Family Engagement Facilitators can use locally relevant strategies to engage families in services and supports that will contribute to positive parenting and family experiences.</w:t>
      </w:r>
    </w:p>
    <w:p w:rsidR="004E1C41" w:rsidRDefault="004E1C41" w:rsidP="00F73C34">
      <w:pPr>
        <w:spacing w:line="280" w:lineRule="atLeast"/>
        <w:contextualSpacing/>
        <w:jc w:val="both"/>
        <w:rPr>
          <w:rFonts w:ascii="Arial" w:hAnsi="Arial" w:cs="Arial"/>
          <w:b/>
          <w:color w:val="0070C0"/>
          <w:sz w:val="22"/>
          <w:szCs w:val="22"/>
        </w:rPr>
      </w:pPr>
    </w:p>
    <w:p w:rsidR="004E1C41" w:rsidRDefault="004E1C41"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How much will it cost?</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Default="00F73C34" w:rsidP="00F73C34">
      <w:pPr>
        <w:spacing w:line="280" w:lineRule="atLeast"/>
        <w:contextualSpacing/>
        <w:rPr>
          <w:rFonts w:ascii="Arial" w:hAnsi="Arial" w:cs="Arial"/>
          <w:color w:val="000000" w:themeColor="text1"/>
          <w:sz w:val="22"/>
          <w:szCs w:val="22"/>
        </w:rPr>
      </w:pPr>
      <w:r w:rsidRPr="00F73C34">
        <w:rPr>
          <w:rFonts w:ascii="Arial" w:hAnsi="Arial" w:cs="Arial"/>
          <w:color w:val="000000" w:themeColor="text1"/>
          <w:sz w:val="22"/>
          <w:szCs w:val="22"/>
        </w:rPr>
        <w:t xml:space="preserve">The costs attached to this three-year pilot project are described below and include costs of the robust project methodology and evaluation. </w:t>
      </w: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4E1C41" w:rsidRDefault="004E1C41" w:rsidP="00F73C34">
      <w:pPr>
        <w:spacing w:line="280" w:lineRule="atLeast"/>
        <w:contextualSpacing/>
        <w:rPr>
          <w:rFonts w:ascii="Arial" w:hAnsi="Arial" w:cs="Arial"/>
          <w:color w:val="000000" w:themeColor="text1"/>
          <w:sz w:val="22"/>
          <w:szCs w:val="22"/>
        </w:rPr>
      </w:pPr>
    </w:p>
    <w:p w:rsidR="00F73C34" w:rsidRPr="00F73C34" w:rsidRDefault="00F73C34" w:rsidP="00F73C34">
      <w:pPr>
        <w:spacing w:line="280" w:lineRule="atLeast"/>
        <w:contextualSpacing/>
        <w:rPr>
          <w:rFonts w:ascii="Arial" w:hAnsi="Arial" w:cs="Arial"/>
          <w:color w:val="000000" w:themeColor="text1"/>
          <w:sz w:val="22"/>
          <w:szCs w:val="22"/>
        </w:rPr>
      </w:pPr>
    </w:p>
    <w:tbl>
      <w:tblPr>
        <w:tblStyle w:val="LightShading"/>
        <w:tblW w:w="5000" w:type="pct"/>
        <w:tblLook w:val="04A0" w:firstRow="1" w:lastRow="0" w:firstColumn="1" w:lastColumn="0" w:noHBand="0" w:noVBand="1"/>
      </w:tblPr>
      <w:tblGrid>
        <w:gridCol w:w="6654"/>
        <w:gridCol w:w="1597"/>
        <w:gridCol w:w="1597"/>
      </w:tblGrid>
      <w:tr w:rsidR="00F73C34" w:rsidRPr="00F73C34" w:rsidTr="00A77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jc w:val="both"/>
              <w:rPr>
                <w:rFonts w:ascii="Arial" w:hAnsi="Arial" w:cs="Arial"/>
                <w:b w:val="0"/>
                <w:lang w:val="en-GB"/>
              </w:rPr>
            </w:pPr>
            <w:r w:rsidRPr="00F73C34">
              <w:rPr>
                <w:rFonts w:ascii="Arial" w:hAnsi="Arial" w:cs="Arial"/>
                <w:lang w:val="en-GB"/>
              </w:rPr>
              <w:t xml:space="preserve">Project elements </w:t>
            </w:r>
          </w:p>
        </w:tc>
        <w:tc>
          <w:tcPr>
            <w:tcW w:w="811" w:type="pct"/>
          </w:tcPr>
          <w:p w:rsidR="00F73C34" w:rsidRPr="00F73C34" w:rsidRDefault="00F73C34" w:rsidP="00F73C34">
            <w:pPr>
              <w:pStyle w:val="NoSpacing"/>
              <w:spacing w:line="28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F73C34">
              <w:rPr>
                <w:rFonts w:ascii="Arial" w:hAnsi="Arial" w:cs="Arial"/>
                <w:lang w:val="en-GB"/>
              </w:rPr>
              <w:t>Per annum</w:t>
            </w:r>
          </w:p>
        </w:tc>
        <w:tc>
          <w:tcPr>
            <w:tcW w:w="811" w:type="pct"/>
          </w:tcPr>
          <w:p w:rsidR="00F73C34" w:rsidRPr="00F73C34" w:rsidRDefault="00F73C34" w:rsidP="00F73C34">
            <w:pPr>
              <w:pStyle w:val="NoSpacing"/>
              <w:spacing w:line="28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F73C34">
              <w:rPr>
                <w:rFonts w:ascii="Arial" w:hAnsi="Arial" w:cs="Arial"/>
                <w:lang w:val="en-GB"/>
              </w:rPr>
              <w:t>Total cost</w:t>
            </w:r>
          </w:p>
          <w:p w:rsidR="00F73C34" w:rsidRPr="00F73C34" w:rsidRDefault="00F73C34" w:rsidP="00F73C34">
            <w:pPr>
              <w:pStyle w:val="NoSpacing"/>
              <w:spacing w:line="28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4E1C41">
              <w:rPr>
                <w:rFonts w:ascii="Arial" w:hAnsi="Arial" w:cs="Arial"/>
                <w:sz w:val="18"/>
                <w:lang w:val="en-GB"/>
              </w:rPr>
              <w:t>(Over 3 years)</w:t>
            </w:r>
          </w:p>
        </w:tc>
      </w:tr>
      <w:tr w:rsidR="00F73C34" w:rsidRPr="00F73C34" w:rsidTr="00A775C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rPr>
                <w:rFonts w:ascii="Arial" w:hAnsi="Arial" w:cs="Arial"/>
                <w:b w:val="0"/>
                <w:lang w:val="en-GB"/>
              </w:rPr>
            </w:pPr>
            <w:r w:rsidRPr="00F73C34">
              <w:rPr>
                <w:rFonts w:ascii="Arial" w:hAnsi="Arial" w:cs="Arial"/>
                <w:b w:val="0"/>
                <w:lang w:val="en-GB"/>
              </w:rPr>
              <w:t>Family Engagement Facilitators in the municipality, focusing on those that are most vulnerable (including staff on-costs).</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73C34">
              <w:rPr>
                <w:rFonts w:ascii="Arial" w:hAnsi="Arial" w:cs="Arial"/>
                <w:lang w:val="en-GB"/>
              </w:rPr>
              <w:t>$616,000</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73C34">
              <w:rPr>
                <w:rFonts w:ascii="Arial" w:hAnsi="Arial" w:cs="Arial"/>
                <w:lang w:val="en-GB"/>
              </w:rPr>
              <w:t>$1,848,000</w:t>
            </w:r>
          </w:p>
        </w:tc>
      </w:tr>
      <w:tr w:rsidR="00F73C34" w:rsidRPr="00F73C34" w:rsidTr="00A775CB">
        <w:trPr>
          <w:trHeight w:val="246"/>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rPr>
                <w:rFonts w:ascii="Arial" w:hAnsi="Arial" w:cs="Arial"/>
                <w:b w:val="0"/>
                <w:lang w:val="en-GB"/>
              </w:rPr>
            </w:pPr>
            <w:r w:rsidRPr="00F73C34">
              <w:rPr>
                <w:rFonts w:ascii="Arial" w:hAnsi="Arial" w:cs="Arial"/>
                <w:b w:val="0"/>
                <w:lang w:val="en-GB"/>
              </w:rPr>
              <w:t>Brokerage funding for targeted and universal family strengthening and education programs resources and service integration.</w:t>
            </w:r>
          </w:p>
        </w:tc>
        <w:tc>
          <w:tcPr>
            <w:tcW w:w="811" w:type="pct"/>
          </w:tcPr>
          <w:p w:rsidR="00F73C34" w:rsidRPr="00F73C34" w:rsidRDefault="00F73C34" w:rsidP="00F73C34">
            <w:pPr>
              <w:pStyle w:val="NoSpacing"/>
              <w:spacing w:line="28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73C34">
              <w:rPr>
                <w:rFonts w:ascii="Arial" w:hAnsi="Arial" w:cs="Arial"/>
                <w:lang w:val="en-GB"/>
              </w:rPr>
              <w:t>$120,000</w:t>
            </w:r>
          </w:p>
        </w:tc>
        <w:tc>
          <w:tcPr>
            <w:tcW w:w="811" w:type="pct"/>
          </w:tcPr>
          <w:p w:rsidR="00F73C34" w:rsidRPr="00F73C34" w:rsidRDefault="00F73C34" w:rsidP="00F73C34">
            <w:pPr>
              <w:pStyle w:val="NoSpacing"/>
              <w:spacing w:line="28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73C34">
              <w:rPr>
                <w:rFonts w:ascii="Arial" w:hAnsi="Arial" w:cs="Arial"/>
                <w:lang w:val="en-GB"/>
              </w:rPr>
              <w:t>$360,000</w:t>
            </w:r>
          </w:p>
        </w:tc>
      </w:tr>
      <w:tr w:rsidR="00F73C34" w:rsidRPr="00F73C34" w:rsidTr="00A775CB">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rPr>
                <w:rFonts w:ascii="Arial" w:hAnsi="Arial" w:cs="Arial"/>
                <w:b w:val="0"/>
                <w:lang w:val="en-GB"/>
              </w:rPr>
            </w:pPr>
            <w:r w:rsidRPr="00F73C34">
              <w:rPr>
                <w:rFonts w:ascii="Arial" w:hAnsi="Arial" w:cs="Arial"/>
                <w:b w:val="0"/>
                <w:lang w:val="en-GB"/>
              </w:rPr>
              <w:t>Local data dashboard for rapid data collection and review within an action research framework.</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73C34">
              <w:rPr>
                <w:rFonts w:ascii="Arial" w:hAnsi="Arial" w:cs="Arial"/>
                <w:lang w:val="en-GB"/>
              </w:rPr>
              <w:t>$10,000</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73C34">
              <w:rPr>
                <w:rFonts w:ascii="Arial" w:hAnsi="Arial" w:cs="Arial"/>
                <w:lang w:val="en-GB"/>
              </w:rPr>
              <w:t>$30,000</w:t>
            </w:r>
          </w:p>
        </w:tc>
      </w:tr>
      <w:tr w:rsidR="00F73C34" w:rsidRPr="00F73C34" w:rsidTr="00A775CB">
        <w:trPr>
          <w:trHeight w:val="433"/>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rPr>
                <w:rFonts w:ascii="Arial" w:hAnsi="Arial" w:cs="Arial"/>
                <w:b w:val="0"/>
                <w:lang w:val="en-GB"/>
              </w:rPr>
            </w:pPr>
            <w:r w:rsidRPr="00F73C34">
              <w:rPr>
                <w:rFonts w:ascii="Arial" w:hAnsi="Arial" w:cs="Arial"/>
                <w:b w:val="0"/>
                <w:lang w:val="en-GB"/>
              </w:rPr>
              <w:t xml:space="preserve">Evaluation  </w:t>
            </w:r>
          </w:p>
        </w:tc>
        <w:tc>
          <w:tcPr>
            <w:tcW w:w="811" w:type="pct"/>
          </w:tcPr>
          <w:p w:rsidR="00F73C34" w:rsidRPr="00F73C34" w:rsidRDefault="00F73C34" w:rsidP="00F73C34">
            <w:pPr>
              <w:pStyle w:val="NoSpacing"/>
              <w:spacing w:line="28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73C34">
              <w:rPr>
                <w:rFonts w:ascii="Arial" w:hAnsi="Arial" w:cs="Arial"/>
                <w:lang w:val="en-GB"/>
              </w:rPr>
              <w:t>$50,000</w:t>
            </w:r>
          </w:p>
        </w:tc>
        <w:tc>
          <w:tcPr>
            <w:tcW w:w="811" w:type="pct"/>
          </w:tcPr>
          <w:p w:rsidR="00F73C34" w:rsidRPr="00F73C34" w:rsidRDefault="00F73C34" w:rsidP="00F73C34">
            <w:pPr>
              <w:pStyle w:val="NoSpacing"/>
              <w:spacing w:line="280" w:lineRule="atLeast"/>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73C34">
              <w:rPr>
                <w:rFonts w:ascii="Arial" w:hAnsi="Arial" w:cs="Arial"/>
                <w:lang w:val="en-GB"/>
              </w:rPr>
              <w:t>$150,000</w:t>
            </w:r>
          </w:p>
        </w:tc>
      </w:tr>
      <w:tr w:rsidR="00F73C34" w:rsidRPr="00F73C34" w:rsidTr="00A775C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378" w:type="pct"/>
          </w:tcPr>
          <w:p w:rsidR="00F73C34" w:rsidRPr="00F73C34" w:rsidRDefault="00F73C34" w:rsidP="00F73C34">
            <w:pPr>
              <w:pStyle w:val="NoSpacing"/>
              <w:spacing w:line="280" w:lineRule="atLeast"/>
              <w:contextualSpacing/>
              <w:jc w:val="right"/>
              <w:rPr>
                <w:rFonts w:ascii="Arial" w:hAnsi="Arial" w:cs="Arial"/>
                <w:b w:val="0"/>
                <w:lang w:val="en-GB"/>
              </w:rPr>
            </w:pPr>
            <w:r w:rsidRPr="00F73C34">
              <w:rPr>
                <w:rFonts w:ascii="Arial" w:hAnsi="Arial" w:cs="Arial"/>
                <w:lang w:val="en-GB"/>
              </w:rPr>
              <w:t>TOTAL (per annum)</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F73C34">
              <w:rPr>
                <w:rFonts w:ascii="Arial" w:hAnsi="Arial" w:cs="Arial"/>
                <w:b/>
                <w:lang w:val="en-GB"/>
              </w:rPr>
              <w:t>$796,000</w:t>
            </w:r>
          </w:p>
        </w:tc>
        <w:tc>
          <w:tcPr>
            <w:tcW w:w="811" w:type="pct"/>
          </w:tcPr>
          <w:p w:rsidR="00F73C34" w:rsidRPr="00F73C34" w:rsidRDefault="00F73C34" w:rsidP="00F73C34">
            <w:pPr>
              <w:pStyle w:val="NoSpacing"/>
              <w:spacing w:line="280" w:lineRule="atLeast"/>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F73C34">
              <w:rPr>
                <w:rFonts w:ascii="Arial" w:hAnsi="Arial" w:cs="Arial"/>
                <w:b/>
                <w:lang w:val="en-GB"/>
              </w:rPr>
              <w:t>$2,388,000</w:t>
            </w:r>
          </w:p>
        </w:tc>
      </w:tr>
    </w:tbl>
    <w:p w:rsidR="00F73C34" w:rsidRPr="00F73C34" w:rsidRDefault="00F73C34"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How does the community benefit?</w:t>
      </w:r>
    </w:p>
    <w:p w:rsidR="00F73C34" w:rsidRPr="00F73C34" w:rsidRDefault="00F73C34" w:rsidP="00F73C34">
      <w:pPr>
        <w:spacing w:line="280" w:lineRule="atLeast"/>
        <w:contextualSpacing/>
        <w:jc w:val="both"/>
        <w:rPr>
          <w:rFonts w:ascii="Arial" w:hAnsi="Arial" w:cs="Arial"/>
          <w:sz w:val="22"/>
          <w:szCs w:val="22"/>
        </w:rPr>
      </w:pPr>
    </w:p>
    <w:p w:rsidR="00F73C34" w:rsidRDefault="00F73C34" w:rsidP="00F73C34">
      <w:pPr>
        <w:spacing w:line="280" w:lineRule="atLeast"/>
        <w:contextualSpacing/>
        <w:jc w:val="both"/>
        <w:rPr>
          <w:rFonts w:ascii="Arial" w:hAnsi="Arial" w:cs="Arial"/>
          <w:sz w:val="22"/>
          <w:szCs w:val="22"/>
        </w:rPr>
      </w:pPr>
      <w:r w:rsidRPr="00F73C34">
        <w:rPr>
          <w:rFonts w:ascii="Arial" w:hAnsi="Arial" w:cs="Arial"/>
          <w:sz w:val="22"/>
          <w:szCs w:val="22"/>
        </w:rPr>
        <w:t xml:space="preserve">Prevention and early intervention approaches address vulnerability across the municipality and help prevent further vulnerability and disadvantage. The intervention will benefit the health, education and well-being of </w:t>
      </w:r>
      <w:proofErr w:type="spellStart"/>
      <w:r w:rsidRPr="00F73C34">
        <w:rPr>
          <w:rFonts w:ascii="Arial" w:hAnsi="Arial" w:cs="Arial"/>
          <w:sz w:val="22"/>
          <w:szCs w:val="22"/>
        </w:rPr>
        <w:t>Whittlesea’s</w:t>
      </w:r>
      <w:proofErr w:type="spellEnd"/>
      <w:r w:rsidRPr="00F73C34">
        <w:rPr>
          <w:rFonts w:ascii="Arial" w:hAnsi="Arial" w:cs="Arial"/>
          <w:sz w:val="22"/>
          <w:szCs w:val="22"/>
        </w:rPr>
        <w:t xml:space="preserve"> children and families in the following ways: </w:t>
      </w:r>
    </w:p>
    <w:p w:rsidR="004E1C41" w:rsidRPr="00F73C34" w:rsidRDefault="004E1C41" w:rsidP="00F73C34">
      <w:pPr>
        <w:spacing w:line="280" w:lineRule="atLeast"/>
        <w:contextualSpacing/>
        <w:jc w:val="both"/>
        <w:rPr>
          <w:rFonts w:ascii="Arial" w:hAnsi="Arial" w:cs="Arial"/>
          <w:sz w:val="22"/>
          <w:szCs w:val="22"/>
        </w:rPr>
      </w:pPr>
    </w:p>
    <w:p w:rsidR="00F73C34" w:rsidRPr="00F73C34" w:rsidRDefault="00F73C34" w:rsidP="00F73C34">
      <w:pPr>
        <w:numPr>
          <w:ilvl w:val="0"/>
          <w:numId w:val="12"/>
        </w:numPr>
        <w:spacing w:line="280" w:lineRule="atLeast"/>
        <w:ind w:left="714" w:hanging="357"/>
        <w:contextualSpacing/>
        <w:jc w:val="both"/>
        <w:rPr>
          <w:rFonts w:ascii="Arial" w:hAnsi="Arial" w:cs="Arial"/>
          <w:sz w:val="22"/>
          <w:szCs w:val="22"/>
        </w:rPr>
      </w:pPr>
      <w:r w:rsidRPr="00F73C34">
        <w:rPr>
          <w:rFonts w:ascii="Arial" w:hAnsi="Arial" w:cs="Arial"/>
          <w:sz w:val="22"/>
          <w:szCs w:val="22"/>
        </w:rPr>
        <w:t>Decreased incidence of family violence and its subsequent impact on children</w:t>
      </w:r>
    </w:p>
    <w:p w:rsidR="00F73C34" w:rsidRPr="00F73C34" w:rsidRDefault="00F73C34" w:rsidP="00F73C34">
      <w:pPr>
        <w:numPr>
          <w:ilvl w:val="0"/>
          <w:numId w:val="12"/>
        </w:numPr>
        <w:spacing w:line="280" w:lineRule="atLeast"/>
        <w:ind w:left="714" w:hanging="357"/>
        <w:contextualSpacing/>
        <w:jc w:val="both"/>
        <w:rPr>
          <w:rFonts w:ascii="Arial" w:hAnsi="Arial" w:cs="Arial"/>
          <w:sz w:val="22"/>
          <w:szCs w:val="22"/>
        </w:rPr>
      </w:pPr>
      <w:r w:rsidRPr="00F73C34">
        <w:rPr>
          <w:rFonts w:ascii="Arial" w:hAnsi="Arial" w:cs="Arial"/>
          <w:sz w:val="22"/>
          <w:szCs w:val="22"/>
        </w:rPr>
        <w:t>Decreased social isolation for families</w:t>
      </w:r>
    </w:p>
    <w:p w:rsidR="00F73C34" w:rsidRPr="00F73C34" w:rsidRDefault="00F73C34" w:rsidP="00F73C34">
      <w:pPr>
        <w:numPr>
          <w:ilvl w:val="0"/>
          <w:numId w:val="12"/>
        </w:numPr>
        <w:spacing w:line="280" w:lineRule="atLeast"/>
        <w:ind w:left="714" w:hanging="357"/>
        <w:contextualSpacing/>
        <w:jc w:val="both"/>
        <w:rPr>
          <w:rFonts w:ascii="Arial" w:hAnsi="Arial" w:cs="Arial"/>
          <w:sz w:val="22"/>
          <w:szCs w:val="22"/>
        </w:rPr>
      </w:pPr>
      <w:r w:rsidRPr="00F73C34">
        <w:rPr>
          <w:rFonts w:ascii="Arial" w:hAnsi="Arial" w:cs="Arial"/>
          <w:sz w:val="22"/>
          <w:szCs w:val="22"/>
        </w:rPr>
        <w:t>Decreased vulnerability of children</w:t>
      </w:r>
    </w:p>
    <w:p w:rsidR="00F73C34" w:rsidRPr="00F73C34" w:rsidRDefault="00F73C34" w:rsidP="00F73C34">
      <w:pPr>
        <w:numPr>
          <w:ilvl w:val="0"/>
          <w:numId w:val="12"/>
        </w:numPr>
        <w:spacing w:line="280" w:lineRule="atLeast"/>
        <w:ind w:left="714" w:hanging="357"/>
        <w:contextualSpacing/>
        <w:jc w:val="both"/>
        <w:rPr>
          <w:rFonts w:ascii="Arial" w:hAnsi="Arial" w:cs="Arial"/>
          <w:sz w:val="22"/>
          <w:szCs w:val="22"/>
        </w:rPr>
      </w:pPr>
      <w:r w:rsidRPr="00F73C34">
        <w:rPr>
          <w:rFonts w:ascii="Arial" w:hAnsi="Arial" w:cs="Arial"/>
          <w:sz w:val="22"/>
          <w:szCs w:val="22"/>
        </w:rPr>
        <w:t>Reduced gaps in service delivery and duplication of services</w:t>
      </w:r>
    </w:p>
    <w:p w:rsidR="00F73C34" w:rsidRPr="00F73C34" w:rsidRDefault="00F73C34" w:rsidP="00F73C34">
      <w:pPr>
        <w:numPr>
          <w:ilvl w:val="0"/>
          <w:numId w:val="13"/>
        </w:numPr>
        <w:spacing w:line="280" w:lineRule="atLeast"/>
        <w:ind w:left="714" w:hanging="357"/>
        <w:contextualSpacing/>
        <w:jc w:val="both"/>
        <w:rPr>
          <w:rFonts w:ascii="Arial" w:hAnsi="Arial" w:cs="Arial"/>
          <w:sz w:val="22"/>
          <w:szCs w:val="22"/>
        </w:rPr>
      </w:pPr>
      <w:r w:rsidRPr="00F73C34">
        <w:rPr>
          <w:rFonts w:ascii="Arial" w:hAnsi="Arial" w:cs="Arial"/>
          <w:sz w:val="22"/>
          <w:szCs w:val="22"/>
        </w:rPr>
        <w:t xml:space="preserve">Increased family resilience </w:t>
      </w:r>
    </w:p>
    <w:p w:rsidR="00F73C34" w:rsidRPr="00F73C34" w:rsidRDefault="00F73C34" w:rsidP="00F73C34">
      <w:pPr>
        <w:numPr>
          <w:ilvl w:val="0"/>
          <w:numId w:val="13"/>
        </w:numPr>
        <w:spacing w:line="280" w:lineRule="atLeast"/>
        <w:ind w:left="714" w:hanging="357"/>
        <w:contextualSpacing/>
        <w:jc w:val="both"/>
        <w:rPr>
          <w:rFonts w:ascii="Arial" w:hAnsi="Arial" w:cs="Arial"/>
          <w:sz w:val="22"/>
          <w:szCs w:val="22"/>
        </w:rPr>
      </w:pPr>
      <w:r w:rsidRPr="00F73C34">
        <w:rPr>
          <w:rFonts w:ascii="Arial" w:hAnsi="Arial" w:cs="Arial"/>
          <w:sz w:val="22"/>
          <w:szCs w:val="22"/>
        </w:rPr>
        <w:t>Increased coordination and more focused service delivery</w:t>
      </w:r>
    </w:p>
    <w:p w:rsidR="00F73C34" w:rsidRPr="00F73C34" w:rsidRDefault="00F73C34" w:rsidP="00F73C34">
      <w:pPr>
        <w:numPr>
          <w:ilvl w:val="0"/>
          <w:numId w:val="13"/>
        </w:numPr>
        <w:spacing w:line="280" w:lineRule="atLeast"/>
        <w:ind w:left="714" w:hanging="357"/>
        <w:contextualSpacing/>
        <w:jc w:val="both"/>
        <w:rPr>
          <w:rFonts w:ascii="Arial" w:hAnsi="Arial" w:cs="Arial"/>
          <w:sz w:val="22"/>
          <w:szCs w:val="22"/>
        </w:rPr>
      </w:pPr>
      <w:r w:rsidRPr="00F73C34">
        <w:rPr>
          <w:rFonts w:ascii="Arial" w:hAnsi="Arial" w:cs="Arial"/>
          <w:sz w:val="22"/>
          <w:szCs w:val="22"/>
        </w:rPr>
        <w:t>More families seeking and accessing support when needed</w:t>
      </w:r>
    </w:p>
    <w:p w:rsidR="00F73C34" w:rsidRPr="00F73C34" w:rsidRDefault="00F73C34" w:rsidP="00F73C34">
      <w:pPr>
        <w:numPr>
          <w:ilvl w:val="0"/>
          <w:numId w:val="13"/>
        </w:numPr>
        <w:spacing w:line="280" w:lineRule="atLeast"/>
        <w:ind w:left="714" w:hanging="357"/>
        <w:contextualSpacing/>
        <w:jc w:val="both"/>
        <w:rPr>
          <w:rFonts w:ascii="Arial" w:hAnsi="Arial" w:cs="Arial"/>
          <w:sz w:val="22"/>
          <w:szCs w:val="22"/>
        </w:rPr>
      </w:pPr>
      <w:r w:rsidRPr="00F73C34">
        <w:rPr>
          <w:rFonts w:ascii="Arial" w:hAnsi="Arial" w:cs="Arial"/>
          <w:sz w:val="22"/>
          <w:szCs w:val="22"/>
        </w:rPr>
        <w:t xml:space="preserve">Improved long-term prevention of </w:t>
      </w:r>
      <w:proofErr w:type="spellStart"/>
      <w:r w:rsidRPr="00F73C34">
        <w:rPr>
          <w:rFonts w:ascii="Arial" w:hAnsi="Arial" w:cs="Arial"/>
          <w:sz w:val="22"/>
          <w:szCs w:val="22"/>
        </w:rPr>
        <w:t>neighbourhood</w:t>
      </w:r>
      <w:proofErr w:type="spellEnd"/>
      <w:r w:rsidRPr="00F73C34">
        <w:rPr>
          <w:rFonts w:ascii="Arial" w:hAnsi="Arial" w:cs="Arial"/>
          <w:sz w:val="22"/>
          <w:szCs w:val="22"/>
        </w:rPr>
        <w:t xml:space="preserve"> and locational disadvantage </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What objectives does this help us to achieve?</w:t>
      </w:r>
    </w:p>
    <w:p w:rsidR="00F73C34" w:rsidRPr="00F73C34" w:rsidRDefault="00F73C34" w:rsidP="00F73C34">
      <w:pPr>
        <w:spacing w:line="280" w:lineRule="atLeast"/>
        <w:contextualSpacing/>
        <w:jc w:val="both"/>
        <w:rPr>
          <w:rFonts w:ascii="Arial" w:hAnsi="Arial" w:cs="Arial"/>
          <w:b/>
          <w:color w:val="000000" w:themeColor="text1"/>
          <w:sz w:val="22"/>
          <w:szCs w:val="22"/>
        </w:rPr>
      </w:pPr>
    </w:p>
    <w:p w:rsidR="00F73C34" w:rsidRDefault="00F73C34" w:rsidP="00F73C34">
      <w:pPr>
        <w:spacing w:line="280" w:lineRule="atLeast"/>
        <w:contextualSpacing/>
        <w:jc w:val="both"/>
        <w:rPr>
          <w:rFonts w:ascii="Arial" w:hAnsi="Arial" w:cs="Arial"/>
          <w:b/>
          <w:color w:val="000000" w:themeColor="text1"/>
          <w:sz w:val="22"/>
          <w:szCs w:val="22"/>
        </w:rPr>
      </w:pPr>
      <w:r w:rsidRPr="00F73C34">
        <w:rPr>
          <w:rFonts w:ascii="Arial" w:hAnsi="Arial" w:cs="Arial"/>
          <w:b/>
          <w:color w:val="000000" w:themeColor="text1"/>
          <w:sz w:val="22"/>
          <w:szCs w:val="22"/>
        </w:rPr>
        <w:t>Federal Government</w:t>
      </w:r>
    </w:p>
    <w:p w:rsidR="00F73C34" w:rsidRPr="00F73C34" w:rsidRDefault="00F73C34" w:rsidP="00F73C34">
      <w:pPr>
        <w:pStyle w:val="ListParagraph"/>
        <w:numPr>
          <w:ilvl w:val="0"/>
          <w:numId w:val="17"/>
        </w:numPr>
        <w:spacing w:after="0" w:line="280" w:lineRule="atLeast"/>
        <w:jc w:val="both"/>
        <w:rPr>
          <w:rFonts w:ascii="Arial" w:hAnsi="Arial" w:cs="Arial"/>
        </w:rPr>
      </w:pPr>
      <w:r w:rsidRPr="00F73C34">
        <w:rPr>
          <w:rFonts w:ascii="Arial" w:hAnsi="Arial" w:cs="Arial"/>
          <w:color w:val="000000" w:themeColor="text1"/>
        </w:rPr>
        <w:t xml:space="preserve">The National Framework for Protecting Australia’s Children, Second Action Plan, the National Plan to Reduce Violence against Women and their Children 2010-2022 and the Early Childhood Education and Care National Quality Framework, including but not limited to the National Standards, Universal Access and Workforce </w:t>
      </w:r>
      <w:r w:rsidRPr="00F73C34">
        <w:rPr>
          <w:rFonts w:ascii="Arial" w:hAnsi="Arial" w:cs="Arial"/>
        </w:rPr>
        <w:t>Reform.</w:t>
      </w:r>
    </w:p>
    <w:p w:rsidR="00F73C34" w:rsidRPr="00F73C34" w:rsidRDefault="00F73C34" w:rsidP="00F73C34">
      <w:pPr>
        <w:spacing w:line="280" w:lineRule="atLeast"/>
        <w:contextualSpacing/>
        <w:jc w:val="both"/>
        <w:rPr>
          <w:rFonts w:ascii="Arial" w:hAnsi="Arial" w:cs="Arial"/>
          <w:b/>
          <w:color w:val="000000" w:themeColor="text1"/>
          <w:sz w:val="22"/>
          <w:szCs w:val="22"/>
        </w:rPr>
      </w:pPr>
    </w:p>
    <w:p w:rsidR="00F73C34" w:rsidRDefault="00F73C34" w:rsidP="00F73C34">
      <w:pPr>
        <w:spacing w:line="280" w:lineRule="atLeast"/>
        <w:contextualSpacing/>
        <w:jc w:val="both"/>
        <w:rPr>
          <w:rFonts w:ascii="Arial" w:hAnsi="Arial" w:cs="Arial"/>
          <w:b/>
          <w:color w:val="000000" w:themeColor="text1"/>
          <w:sz w:val="22"/>
          <w:szCs w:val="22"/>
        </w:rPr>
      </w:pPr>
      <w:r w:rsidRPr="00F73C34">
        <w:rPr>
          <w:rFonts w:ascii="Arial" w:hAnsi="Arial" w:cs="Arial"/>
          <w:b/>
          <w:color w:val="000000" w:themeColor="text1"/>
          <w:sz w:val="22"/>
          <w:szCs w:val="22"/>
        </w:rPr>
        <w:t>State Government</w:t>
      </w:r>
    </w:p>
    <w:p w:rsidR="00F73C34" w:rsidRPr="00F73C34" w:rsidRDefault="00F73C34" w:rsidP="00F73C34">
      <w:pPr>
        <w:pStyle w:val="ListParagraph"/>
        <w:numPr>
          <w:ilvl w:val="0"/>
          <w:numId w:val="17"/>
        </w:numPr>
        <w:spacing w:after="0" w:line="280" w:lineRule="atLeast"/>
        <w:jc w:val="both"/>
        <w:rPr>
          <w:rFonts w:ascii="Arial" w:hAnsi="Arial" w:cs="Arial"/>
          <w:color w:val="000000" w:themeColor="text1"/>
        </w:rPr>
      </w:pPr>
      <w:r w:rsidRPr="00F73C34">
        <w:rPr>
          <w:rFonts w:ascii="Arial" w:hAnsi="Arial" w:cs="Arial"/>
          <w:color w:val="000000" w:themeColor="text1"/>
        </w:rPr>
        <w:t xml:space="preserve">The Report on the Protecting Victoria’s Vulnerable Children Inquiry, Everyone Has a Responsibility to Act – Victoria’s Action Plan to Address Violence </w:t>
      </w:r>
      <w:proofErr w:type="gramStart"/>
      <w:r w:rsidRPr="00F73C34">
        <w:rPr>
          <w:rFonts w:ascii="Arial" w:hAnsi="Arial" w:cs="Arial"/>
          <w:color w:val="000000" w:themeColor="text1"/>
        </w:rPr>
        <w:t>Against</w:t>
      </w:r>
      <w:proofErr w:type="gramEnd"/>
      <w:r w:rsidRPr="00F73C34">
        <w:rPr>
          <w:rFonts w:ascii="Arial" w:hAnsi="Arial" w:cs="Arial"/>
          <w:color w:val="000000" w:themeColor="text1"/>
        </w:rPr>
        <w:t xml:space="preserve"> Women and Children 2012-2015 and the </w:t>
      </w:r>
      <w:proofErr w:type="spellStart"/>
      <w:r w:rsidRPr="00F73C34">
        <w:rPr>
          <w:rFonts w:ascii="Arial" w:hAnsi="Arial" w:cs="Arial"/>
          <w:color w:val="000000" w:themeColor="text1"/>
        </w:rPr>
        <w:t>VicHealth</w:t>
      </w:r>
      <w:proofErr w:type="spellEnd"/>
      <w:r w:rsidRPr="00F73C34">
        <w:rPr>
          <w:rFonts w:ascii="Arial" w:hAnsi="Arial" w:cs="Arial"/>
          <w:color w:val="000000" w:themeColor="text1"/>
        </w:rPr>
        <w:t xml:space="preserve"> Framework for the Prevention of Violence Against Women.</w:t>
      </w:r>
    </w:p>
    <w:p w:rsidR="00F73C34" w:rsidRPr="00F73C34" w:rsidRDefault="00F73C34" w:rsidP="00F73C34">
      <w:pPr>
        <w:pStyle w:val="ListParagraph"/>
        <w:spacing w:after="0" w:line="280" w:lineRule="atLeast"/>
        <w:jc w:val="both"/>
        <w:rPr>
          <w:rFonts w:ascii="Arial" w:hAnsi="Arial" w:cs="Arial"/>
          <w:color w:val="000000" w:themeColor="text1"/>
        </w:rPr>
      </w:pPr>
    </w:p>
    <w:p w:rsidR="00F73C34" w:rsidRDefault="00F73C34" w:rsidP="00F73C34">
      <w:pPr>
        <w:spacing w:line="280" w:lineRule="atLeast"/>
        <w:contextualSpacing/>
        <w:jc w:val="both"/>
        <w:rPr>
          <w:rFonts w:ascii="Arial" w:hAnsi="Arial" w:cs="Arial"/>
          <w:b/>
          <w:color w:val="000000" w:themeColor="text1"/>
          <w:sz w:val="22"/>
          <w:szCs w:val="22"/>
        </w:rPr>
      </w:pPr>
      <w:r w:rsidRPr="00F73C34">
        <w:rPr>
          <w:rFonts w:ascii="Arial" w:hAnsi="Arial" w:cs="Arial"/>
          <w:b/>
          <w:color w:val="000000" w:themeColor="text1"/>
          <w:sz w:val="22"/>
          <w:szCs w:val="22"/>
        </w:rPr>
        <w:t>City of Whittlesea</w:t>
      </w:r>
    </w:p>
    <w:p w:rsidR="004E1C41" w:rsidRDefault="00F73C34" w:rsidP="00F73C34">
      <w:pPr>
        <w:pStyle w:val="ListParagraph"/>
        <w:numPr>
          <w:ilvl w:val="0"/>
          <w:numId w:val="17"/>
        </w:numPr>
        <w:spacing w:after="0" w:line="280" w:lineRule="atLeast"/>
        <w:jc w:val="both"/>
        <w:rPr>
          <w:rFonts w:ascii="Arial" w:hAnsi="Arial" w:cs="Arial"/>
          <w:color w:val="000000" w:themeColor="text1"/>
        </w:rPr>
      </w:pPr>
      <w:r w:rsidRPr="00F73C34">
        <w:rPr>
          <w:rFonts w:ascii="Arial" w:hAnsi="Arial" w:cs="Arial"/>
          <w:color w:val="000000" w:themeColor="text1"/>
        </w:rPr>
        <w:t>The prevention and early intervention strategy described will meet objectives within a range of cross-Council and community-wide strategic plans. These include;</w:t>
      </w:r>
    </w:p>
    <w:p w:rsidR="0005508E" w:rsidRDefault="0005508E" w:rsidP="0005508E">
      <w:pPr>
        <w:spacing w:line="280" w:lineRule="atLeast"/>
        <w:jc w:val="both"/>
        <w:rPr>
          <w:rFonts w:ascii="Arial" w:hAnsi="Arial" w:cs="Arial"/>
          <w:color w:val="000000" w:themeColor="text1"/>
        </w:rPr>
      </w:pPr>
    </w:p>
    <w:p w:rsidR="0005508E" w:rsidRDefault="0005508E" w:rsidP="0005508E">
      <w:pPr>
        <w:spacing w:line="280" w:lineRule="atLeast"/>
        <w:jc w:val="both"/>
        <w:rPr>
          <w:rFonts w:ascii="Arial" w:hAnsi="Arial" w:cs="Arial"/>
          <w:color w:val="000000" w:themeColor="text1"/>
        </w:rPr>
      </w:pPr>
    </w:p>
    <w:p w:rsidR="0005508E" w:rsidRDefault="0005508E" w:rsidP="0005508E">
      <w:pPr>
        <w:spacing w:line="280" w:lineRule="atLeast"/>
        <w:jc w:val="both"/>
        <w:rPr>
          <w:rFonts w:ascii="Arial" w:hAnsi="Arial" w:cs="Arial"/>
          <w:color w:val="000000" w:themeColor="text1"/>
        </w:rPr>
      </w:pPr>
    </w:p>
    <w:p w:rsidR="0005508E" w:rsidRPr="0005508E" w:rsidRDefault="0005508E" w:rsidP="0005508E">
      <w:pPr>
        <w:spacing w:line="280" w:lineRule="atLeast"/>
        <w:jc w:val="both"/>
        <w:rPr>
          <w:rFonts w:ascii="Arial" w:hAnsi="Arial" w:cs="Arial"/>
          <w:color w:val="000000" w:themeColor="text1"/>
        </w:rPr>
      </w:pPr>
    </w:p>
    <w:p w:rsidR="00F73C34" w:rsidRDefault="00F73C34" w:rsidP="004E1C41">
      <w:pPr>
        <w:spacing w:line="280" w:lineRule="atLeast"/>
        <w:jc w:val="both"/>
        <w:rPr>
          <w:rFonts w:ascii="Arial" w:hAnsi="Arial" w:cs="Arial"/>
          <w:color w:val="000000" w:themeColor="text1"/>
        </w:rPr>
      </w:pPr>
      <w:r w:rsidRPr="004E1C41">
        <w:rPr>
          <w:rFonts w:ascii="Arial" w:hAnsi="Arial" w:cs="Arial"/>
          <w:color w:val="000000" w:themeColor="text1"/>
        </w:rPr>
        <w:lastRenderedPageBreak/>
        <w:t xml:space="preserve"> </w:t>
      </w:r>
    </w:p>
    <w:p w:rsidR="0005508E" w:rsidRDefault="0005508E" w:rsidP="004E1C41">
      <w:pPr>
        <w:spacing w:line="280" w:lineRule="atLeast"/>
        <w:jc w:val="both"/>
        <w:rPr>
          <w:rFonts w:ascii="Arial" w:hAnsi="Arial" w:cs="Arial"/>
          <w:color w:val="000000" w:themeColor="text1"/>
        </w:rPr>
      </w:pPr>
    </w:p>
    <w:p w:rsidR="0005508E" w:rsidRPr="004E1C41" w:rsidRDefault="0005508E" w:rsidP="004E1C41">
      <w:pPr>
        <w:spacing w:line="280" w:lineRule="atLeast"/>
        <w:jc w:val="both"/>
        <w:rPr>
          <w:rFonts w:ascii="Arial" w:hAnsi="Arial" w:cs="Arial"/>
          <w:color w:val="000000" w:themeColor="text1"/>
        </w:rPr>
      </w:pPr>
    </w:p>
    <w:p w:rsidR="00F73C34" w:rsidRDefault="00F73C34" w:rsidP="00F73C34">
      <w:pPr>
        <w:pStyle w:val="ListParagraph"/>
        <w:numPr>
          <w:ilvl w:val="1"/>
          <w:numId w:val="17"/>
        </w:numPr>
        <w:spacing w:after="0" w:line="280" w:lineRule="atLeast"/>
        <w:jc w:val="both"/>
        <w:rPr>
          <w:rFonts w:ascii="Arial" w:hAnsi="Arial" w:cs="Arial"/>
          <w:color w:val="000000" w:themeColor="text1"/>
        </w:rPr>
      </w:pPr>
      <w:r w:rsidRPr="00F73C34">
        <w:rPr>
          <w:rFonts w:ascii="Arial" w:hAnsi="Arial" w:cs="Arial"/>
          <w:color w:val="000000" w:themeColor="text1"/>
        </w:rPr>
        <w:t>The Community Plan: Shape Your Future (2013-2018)</w:t>
      </w:r>
    </w:p>
    <w:p w:rsidR="00F73C34" w:rsidRPr="00F73C34" w:rsidRDefault="00F73C34" w:rsidP="00F73C34">
      <w:pPr>
        <w:pStyle w:val="ListParagraph"/>
        <w:numPr>
          <w:ilvl w:val="1"/>
          <w:numId w:val="17"/>
        </w:numPr>
        <w:spacing w:after="0" w:line="280" w:lineRule="atLeast"/>
        <w:jc w:val="both"/>
        <w:rPr>
          <w:rFonts w:ascii="Arial" w:hAnsi="Arial" w:cs="Arial"/>
          <w:color w:val="000000" w:themeColor="text1"/>
        </w:rPr>
      </w:pPr>
      <w:r w:rsidRPr="00F73C34">
        <w:rPr>
          <w:rFonts w:ascii="Arial" w:hAnsi="Arial" w:cs="Arial"/>
          <w:color w:val="000000" w:themeColor="text1"/>
        </w:rPr>
        <w:t xml:space="preserve">The Council Plan, </w:t>
      </w:r>
      <w:r w:rsidRPr="00F73C34">
        <w:rPr>
          <w:rFonts w:ascii="Arial" w:hAnsi="Arial" w:cs="Arial"/>
        </w:rPr>
        <w:t>Municipal Public Health and Wellbeing Plan (2013-2017)</w:t>
      </w:r>
    </w:p>
    <w:p w:rsidR="00F73C34" w:rsidRPr="00F73C34" w:rsidRDefault="00F73C34" w:rsidP="00F73C34">
      <w:pPr>
        <w:pStyle w:val="ListParagraph"/>
        <w:numPr>
          <w:ilvl w:val="1"/>
          <w:numId w:val="17"/>
        </w:numPr>
        <w:spacing w:after="0" w:line="280" w:lineRule="atLeast"/>
        <w:jc w:val="both"/>
        <w:rPr>
          <w:rFonts w:ascii="Arial" w:hAnsi="Arial" w:cs="Arial"/>
          <w:color w:val="000000" w:themeColor="text1"/>
        </w:rPr>
      </w:pPr>
      <w:r w:rsidRPr="00F73C34">
        <w:rPr>
          <w:rFonts w:ascii="Arial" w:hAnsi="Arial" w:cs="Arial"/>
        </w:rPr>
        <w:t xml:space="preserve">Connect: a </w:t>
      </w:r>
      <w:r w:rsidRPr="00F73C34">
        <w:rPr>
          <w:rFonts w:ascii="Arial" w:hAnsi="Arial" w:cs="Arial"/>
          <w:color w:val="000000" w:themeColor="text1"/>
        </w:rPr>
        <w:t>municipal plan for children, young people and their families (2013-18)</w:t>
      </w:r>
    </w:p>
    <w:p w:rsidR="00F73C34" w:rsidRPr="00F73C34" w:rsidRDefault="00F73C34" w:rsidP="00F73C34">
      <w:pPr>
        <w:pStyle w:val="ListParagraph"/>
        <w:numPr>
          <w:ilvl w:val="1"/>
          <w:numId w:val="17"/>
        </w:numPr>
        <w:spacing w:after="0" w:line="280" w:lineRule="atLeast"/>
        <w:jc w:val="both"/>
        <w:rPr>
          <w:rFonts w:ascii="Arial" w:hAnsi="Arial" w:cs="Arial"/>
          <w:color w:val="000000" w:themeColor="text1"/>
        </w:rPr>
      </w:pPr>
      <w:r w:rsidRPr="00F73C34">
        <w:rPr>
          <w:rFonts w:ascii="Arial" w:hAnsi="Arial" w:cs="Arial"/>
        </w:rPr>
        <w:t>T</w:t>
      </w:r>
      <w:r w:rsidRPr="00F73C34">
        <w:rPr>
          <w:rFonts w:ascii="Arial" w:hAnsi="Arial" w:cs="Arial"/>
          <w:color w:val="000000" w:themeColor="text1"/>
        </w:rPr>
        <w:t>he Whittlesea Community Futures Strategic plan 2011-2016</w:t>
      </w:r>
    </w:p>
    <w:p w:rsidR="00F73C34" w:rsidRPr="00F73C34" w:rsidRDefault="00F73C34" w:rsidP="00F73C34">
      <w:pPr>
        <w:pStyle w:val="ListParagraph"/>
        <w:numPr>
          <w:ilvl w:val="1"/>
          <w:numId w:val="17"/>
        </w:numPr>
        <w:spacing w:after="0" w:line="280" w:lineRule="atLeast"/>
        <w:jc w:val="both"/>
        <w:rPr>
          <w:rFonts w:ascii="Arial" w:hAnsi="Arial" w:cs="Arial"/>
          <w:color w:val="000000" w:themeColor="text1"/>
        </w:rPr>
      </w:pPr>
      <w:r w:rsidRPr="00F73C34">
        <w:rPr>
          <w:rFonts w:ascii="Arial" w:hAnsi="Arial" w:cs="Arial"/>
          <w:color w:val="000000" w:themeColor="text1"/>
        </w:rPr>
        <w:t xml:space="preserve">The Life-long Learning Strategy, 2013. </w:t>
      </w:r>
    </w:p>
    <w:p w:rsidR="00F73C34" w:rsidRPr="00F73C34" w:rsidRDefault="00F73C34" w:rsidP="00F73C34">
      <w:pPr>
        <w:spacing w:line="280" w:lineRule="atLeast"/>
        <w:contextualSpacing/>
        <w:jc w:val="both"/>
        <w:rPr>
          <w:rFonts w:ascii="Arial" w:hAnsi="Arial" w:cs="Arial"/>
          <w:b/>
          <w:color w:val="0070C0"/>
          <w:sz w:val="22"/>
          <w:szCs w:val="22"/>
        </w:rPr>
      </w:pPr>
    </w:p>
    <w:p w:rsidR="00F73C34" w:rsidRPr="00F73C34" w:rsidRDefault="00F73C34" w:rsidP="00F73C34">
      <w:pPr>
        <w:spacing w:line="280" w:lineRule="atLeast"/>
        <w:contextualSpacing/>
        <w:jc w:val="both"/>
        <w:rPr>
          <w:rFonts w:ascii="Arial" w:hAnsi="Arial" w:cs="Arial"/>
          <w:b/>
          <w:color w:val="0070C0"/>
          <w:sz w:val="22"/>
          <w:szCs w:val="22"/>
        </w:rPr>
      </w:pPr>
      <w:r w:rsidRPr="00F73C34">
        <w:rPr>
          <w:rFonts w:ascii="Arial" w:hAnsi="Arial" w:cs="Arial"/>
          <w:b/>
          <w:color w:val="0070C0"/>
          <w:sz w:val="22"/>
          <w:szCs w:val="22"/>
        </w:rPr>
        <w:t>Key Messages</w:t>
      </w:r>
    </w:p>
    <w:p w:rsidR="00F73C34" w:rsidRPr="00F73C34" w:rsidRDefault="00F73C34" w:rsidP="00F73C34">
      <w:pPr>
        <w:spacing w:line="280" w:lineRule="atLeast"/>
        <w:contextualSpacing/>
        <w:jc w:val="both"/>
        <w:rPr>
          <w:rFonts w:ascii="Arial" w:hAnsi="Arial" w:cs="Arial"/>
          <w:b/>
          <w:color w:val="0070C0"/>
          <w:sz w:val="22"/>
          <w:szCs w:val="22"/>
        </w:rPr>
      </w:pPr>
    </w:p>
    <w:p w:rsidR="004E1C41" w:rsidRDefault="00F73C34" w:rsidP="00F73C34">
      <w:pPr>
        <w:pStyle w:val="ListParagraph"/>
        <w:numPr>
          <w:ilvl w:val="0"/>
          <w:numId w:val="14"/>
        </w:numPr>
        <w:spacing w:after="0" w:line="280" w:lineRule="atLeast"/>
        <w:ind w:left="714" w:hanging="357"/>
        <w:jc w:val="both"/>
        <w:rPr>
          <w:rFonts w:ascii="Arial" w:hAnsi="Arial" w:cs="Arial"/>
          <w:color w:val="000000" w:themeColor="text1"/>
        </w:rPr>
      </w:pPr>
      <w:r w:rsidRPr="00F73C34">
        <w:rPr>
          <w:rFonts w:ascii="Arial" w:hAnsi="Arial" w:cs="Arial"/>
          <w:color w:val="000000" w:themeColor="text1"/>
        </w:rPr>
        <w:t>Whittlesea Community Futures is seeking a partnership across all levels of government to trial effective and sustainable preventative and early intervention strategies that build from the existing universal service system</w:t>
      </w:r>
      <w:r w:rsidR="004E1C41">
        <w:rPr>
          <w:rFonts w:ascii="Arial" w:hAnsi="Arial" w:cs="Arial"/>
          <w:color w:val="000000" w:themeColor="text1"/>
        </w:rPr>
        <w:t>.</w:t>
      </w:r>
    </w:p>
    <w:p w:rsidR="00F73C34" w:rsidRPr="00F73C34" w:rsidRDefault="00F73C34" w:rsidP="004E1C41">
      <w:pPr>
        <w:pStyle w:val="ListParagraph"/>
        <w:spacing w:after="0" w:line="280" w:lineRule="atLeast"/>
        <w:ind w:left="714"/>
        <w:jc w:val="both"/>
        <w:rPr>
          <w:rFonts w:ascii="Arial" w:hAnsi="Arial" w:cs="Arial"/>
          <w:color w:val="000000" w:themeColor="text1"/>
        </w:rPr>
      </w:pPr>
      <w:r w:rsidRPr="00F73C34">
        <w:rPr>
          <w:rFonts w:ascii="Arial" w:hAnsi="Arial" w:cs="Arial"/>
          <w:color w:val="000000" w:themeColor="text1"/>
        </w:rPr>
        <w:t xml:space="preserve"> </w:t>
      </w:r>
    </w:p>
    <w:p w:rsidR="004E1C41" w:rsidRDefault="00F73C34" w:rsidP="00F73C34">
      <w:pPr>
        <w:pStyle w:val="ListParagraph"/>
        <w:numPr>
          <w:ilvl w:val="0"/>
          <w:numId w:val="14"/>
        </w:numPr>
        <w:spacing w:after="0" w:line="280" w:lineRule="atLeast"/>
        <w:ind w:left="714" w:hanging="357"/>
        <w:jc w:val="both"/>
        <w:rPr>
          <w:rFonts w:ascii="Arial" w:hAnsi="Arial" w:cs="Arial"/>
        </w:rPr>
      </w:pPr>
      <w:r w:rsidRPr="00F73C34">
        <w:rPr>
          <w:rFonts w:ascii="Arial" w:hAnsi="Arial" w:cs="Arial"/>
        </w:rPr>
        <w:t>Many local children are at risk of experiencing further vulnerabilities without effective early childhood intervention services and opportunities for early identification</w:t>
      </w:r>
      <w:r w:rsidR="004E1C41">
        <w:rPr>
          <w:rFonts w:ascii="Arial" w:hAnsi="Arial" w:cs="Arial"/>
        </w:rPr>
        <w:t>.</w:t>
      </w:r>
    </w:p>
    <w:p w:rsidR="00F73C34" w:rsidRPr="004E1C41" w:rsidRDefault="00F73C34" w:rsidP="004E1C41">
      <w:pPr>
        <w:spacing w:line="280" w:lineRule="atLeast"/>
        <w:jc w:val="both"/>
        <w:rPr>
          <w:rFonts w:ascii="Arial" w:hAnsi="Arial" w:cs="Arial"/>
        </w:rPr>
      </w:pPr>
      <w:r w:rsidRPr="004E1C41">
        <w:rPr>
          <w:rFonts w:ascii="Arial" w:hAnsi="Arial" w:cs="Arial"/>
        </w:rPr>
        <w:t xml:space="preserve"> </w:t>
      </w:r>
    </w:p>
    <w:p w:rsidR="004E1C41" w:rsidRDefault="00F73C34" w:rsidP="00F73C34">
      <w:pPr>
        <w:pStyle w:val="ListParagraph"/>
        <w:numPr>
          <w:ilvl w:val="0"/>
          <w:numId w:val="14"/>
        </w:numPr>
        <w:spacing w:after="0" w:line="280" w:lineRule="atLeast"/>
        <w:ind w:left="714" w:hanging="357"/>
        <w:jc w:val="both"/>
        <w:rPr>
          <w:rFonts w:ascii="Arial" w:hAnsi="Arial" w:cs="Arial"/>
        </w:rPr>
      </w:pPr>
      <w:r w:rsidRPr="00F73C34">
        <w:rPr>
          <w:rFonts w:ascii="Arial" w:hAnsi="Arial" w:cs="Arial"/>
        </w:rPr>
        <w:t>The complex and multi-faceted local issues require tailored place-based approaches. Existing partnerships in the City of Whittlesea are well placed to provide governance arrangements for place-based and integrated service delivery that enables a responsive, accessible and holistic service system for children, young people and families.</w:t>
      </w:r>
    </w:p>
    <w:p w:rsidR="00F73C34" w:rsidRPr="004E1C41" w:rsidRDefault="00F73C34" w:rsidP="004E1C41">
      <w:pPr>
        <w:spacing w:line="280" w:lineRule="atLeast"/>
        <w:jc w:val="both"/>
        <w:rPr>
          <w:rFonts w:ascii="Arial" w:hAnsi="Arial" w:cs="Arial"/>
        </w:rPr>
      </w:pPr>
      <w:r w:rsidRPr="004E1C41">
        <w:rPr>
          <w:rFonts w:ascii="Arial" w:hAnsi="Arial" w:cs="Arial"/>
        </w:rPr>
        <w:t xml:space="preserve"> </w:t>
      </w:r>
    </w:p>
    <w:p w:rsidR="00F73C34" w:rsidRDefault="00F73C34" w:rsidP="00F73C34">
      <w:pPr>
        <w:pStyle w:val="ListParagraph"/>
        <w:numPr>
          <w:ilvl w:val="0"/>
          <w:numId w:val="14"/>
        </w:numPr>
        <w:spacing w:after="0" w:line="280" w:lineRule="atLeast"/>
        <w:ind w:left="714" w:hanging="357"/>
        <w:jc w:val="both"/>
        <w:rPr>
          <w:rFonts w:ascii="Arial" w:hAnsi="Arial" w:cs="Arial"/>
        </w:rPr>
      </w:pPr>
      <w:r w:rsidRPr="00F73C34">
        <w:rPr>
          <w:rFonts w:ascii="Arial" w:hAnsi="Arial" w:cs="Arial"/>
        </w:rPr>
        <w:t>As an interface local government area experiencing rapid population growth and increasing levels of vulnerability, the City of Whittlesea is an ideal place for innovative research prevention and early intervention strategies that include place-based approaches, co-design of services systems and services delivery, as well as community-led development.</w:t>
      </w:r>
    </w:p>
    <w:p w:rsidR="004E1C41" w:rsidRPr="004E1C41" w:rsidRDefault="004E1C41" w:rsidP="004E1C41">
      <w:pPr>
        <w:spacing w:line="280" w:lineRule="atLeast"/>
        <w:jc w:val="both"/>
        <w:rPr>
          <w:rFonts w:ascii="Arial" w:hAnsi="Arial" w:cs="Arial"/>
        </w:rPr>
      </w:pPr>
    </w:p>
    <w:p w:rsidR="00F73C34" w:rsidRPr="00F73C34" w:rsidRDefault="00F73C34" w:rsidP="00F73C34">
      <w:pPr>
        <w:pStyle w:val="ListParagraph"/>
        <w:numPr>
          <w:ilvl w:val="0"/>
          <w:numId w:val="14"/>
        </w:numPr>
        <w:spacing w:after="0" w:line="280" w:lineRule="atLeast"/>
        <w:ind w:left="714" w:hanging="357"/>
        <w:jc w:val="both"/>
        <w:rPr>
          <w:rFonts w:ascii="Arial" w:hAnsi="Arial" w:cs="Arial"/>
        </w:rPr>
      </w:pPr>
      <w:r w:rsidRPr="00F73C34">
        <w:rPr>
          <w:rFonts w:ascii="Arial" w:hAnsi="Arial" w:cs="Arial"/>
        </w:rPr>
        <w:t xml:space="preserve">To effectively implement, evaluate and sustain a meaningful prevention and early intervention approaches, Whittlesea needs investment in service development, coordination, integration and partnerships with the State and Federal Government. </w:t>
      </w:r>
    </w:p>
    <w:p w:rsidR="003F783A" w:rsidRPr="00F73C34" w:rsidRDefault="003F783A" w:rsidP="0005508E">
      <w:pPr>
        <w:spacing w:line="280" w:lineRule="atLeast"/>
        <w:ind w:right="-1800"/>
        <w:contextualSpacing/>
        <w:rPr>
          <w:rFonts w:ascii="Arial" w:hAnsi="Arial" w:cs="Arial"/>
          <w:sz w:val="22"/>
          <w:szCs w:val="22"/>
          <w:lang w:val="en-AU"/>
        </w:rPr>
      </w:pPr>
    </w:p>
    <w:sectPr w:rsidR="003F783A" w:rsidRPr="00F73C34" w:rsidSect="002D741B">
      <w:headerReference w:type="even" r:id="rId8"/>
      <w:headerReference w:type="default" r:id="rId9"/>
      <w:footerReference w:type="default" r:id="rId10"/>
      <w:headerReference w:type="first" r:id="rId11"/>
      <w:pgSz w:w="11900" w:h="16840"/>
      <w:pgMar w:top="238" w:right="1134" w:bottom="1418" w:left="1134" w:header="709" w:footer="113"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9D" w:rsidRDefault="00C212ED">
      <w:r>
        <w:separator/>
      </w:r>
    </w:p>
  </w:endnote>
  <w:endnote w:type="continuationSeparator" w:id="0">
    <w:p w:rsidR="00295C9D" w:rsidRDefault="00C212ED">
      <w:r>
        <w:continuationSeparator/>
      </w:r>
    </w:p>
  </w:endnote>
  <w:endnote w:id="1">
    <w:p w:rsidR="00F73C34" w:rsidRDefault="00F73C34" w:rsidP="00F73C34">
      <w:pPr>
        <w:pStyle w:val="EndnoteText"/>
      </w:pPr>
      <w:r>
        <w:rPr>
          <w:rStyle w:val="EndnoteReference"/>
        </w:rPr>
        <w:endnoteRef/>
      </w:r>
      <w:r>
        <w:t xml:space="preserve"> </w:t>
      </w:r>
      <w:r w:rsidRPr="00224986">
        <w:t>Connect: A municipal plan for children, young people and their families, 2013-2018. City of Whittlesea</w:t>
      </w:r>
    </w:p>
  </w:endnote>
  <w:endnote w:id="2">
    <w:p w:rsidR="00F73C34" w:rsidRDefault="00F73C34" w:rsidP="00F73C34">
      <w:pPr>
        <w:pStyle w:val="EndnoteText"/>
      </w:pPr>
      <w:r>
        <w:rPr>
          <w:rStyle w:val="EndnoteReference"/>
        </w:rPr>
        <w:endnoteRef/>
      </w:r>
      <w:r>
        <w:t xml:space="preserve"> </w:t>
      </w:r>
      <w:proofErr w:type="gramStart"/>
      <w:r w:rsidRPr="00224986">
        <w:t>City of Whittlesea Early Childhood Profile, 2010.</w:t>
      </w:r>
      <w:proofErr w:type="gramEnd"/>
      <w:r w:rsidRPr="00224986">
        <w:t xml:space="preserve"> Department of Education and Early Childhood Development </w:t>
      </w:r>
    </w:p>
  </w:endnote>
  <w:endnote w:id="3">
    <w:p w:rsidR="00F73C34" w:rsidRDefault="00F73C34" w:rsidP="00F73C34">
      <w:pPr>
        <w:pStyle w:val="EndnoteText"/>
      </w:pPr>
      <w:r>
        <w:rPr>
          <w:rStyle w:val="EndnoteReference"/>
        </w:rPr>
        <w:endnoteRef/>
      </w:r>
      <w:r>
        <w:t xml:space="preserve"> </w:t>
      </w:r>
      <w:proofErr w:type="gramStart"/>
      <w:r w:rsidRPr="00224986">
        <w:t>City of Whittlesea.</w:t>
      </w:r>
      <w:proofErr w:type="gramEnd"/>
      <w:r w:rsidRPr="00224986">
        <w:t xml:space="preserve"> </w:t>
      </w:r>
      <w:proofErr w:type="gramStart"/>
      <w:r w:rsidRPr="00224986">
        <w:t>Maternal &amp; Child Health database.</w:t>
      </w:r>
      <w:proofErr w:type="gramEnd"/>
      <w:r w:rsidRPr="00224986">
        <w:t xml:space="preserve"> 2013</w:t>
      </w:r>
    </w:p>
  </w:endnote>
  <w:endnote w:id="4">
    <w:p w:rsidR="00F73C34" w:rsidRDefault="00F73C34" w:rsidP="00F73C34">
      <w:pPr>
        <w:pStyle w:val="EndnoteText"/>
      </w:pPr>
      <w:r>
        <w:rPr>
          <w:rStyle w:val="EndnoteReference"/>
        </w:rPr>
        <w:endnoteRef/>
      </w:r>
      <w:r>
        <w:t xml:space="preserve"> </w:t>
      </w:r>
      <w:proofErr w:type="gramStart"/>
      <w:r w:rsidRPr="00224986">
        <w:t>Australian Early Development Index (AEDI) City of Whittlesea Community Profile.</w:t>
      </w:r>
      <w:proofErr w:type="gramEnd"/>
      <w:r w:rsidRPr="00224986">
        <w:t xml:space="preserve"> 2009</w:t>
      </w:r>
    </w:p>
  </w:endnote>
  <w:endnote w:id="5">
    <w:p w:rsidR="00F73C34" w:rsidRDefault="00F73C34" w:rsidP="00F73C34">
      <w:pPr>
        <w:pStyle w:val="EndnoteText"/>
      </w:pPr>
      <w:r>
        <w:rPr>
          <w:rStyle w:val="EndnoteReference"/>
        </w:rPr>
        <w:endnoteRef/>
      </w:r>
      <w:r>
        <w:t xml:space="preserve"> </w:t>
      </w:r>
      <w:r w:rsidRPr="00224986">
        <w:t>Ibid</w:t>
      </w:r>
    </w:p>
  </w:endnote>
  <w:endnote w:id="6">
    <w:p w:rsidR="00F73C34" w:rsidRDefault="00F73C34" w:rsidP="00F73C34">
      <w:pPr>
        <w:pStyle w:val="EndnoteText"/>
      </w:pPr>
      <w:r>
        <w:rPr>
          <w:rStyle w:val="EndnoteReference"/>
        </w:rPr>
        <w:endnoteRef/>
      </w:r>
      <w:r>
        <w:t xml:space="preserve"> </w:t>
      </w:r>
      <w:r w:rsidRPr="00224986">
        <w:t>Children’s Protection Society - Referral data. 2013. North East Metro Child and Family Services Alliance.</w:t>
      </w:r>
    </w:p>
  </w:endnote>
  <w:endnote w:id="7">
    <w:p w:rsidR="00F73C34" w:rsidRDefault="00F73C34" w:rsidP="00F73C34">
      <w:pPr>
        <w:pStyle w:val="EndnoteText"/>
      </w:pPr>
      <w:r>
        <w:rPr>
          <w:rStyle w:val="EndnoteReference"/>
        </w:rPr>
        <w:endnoteRef/>
      </w:r>
      <w:r>
        <w:t xml:space="preserve"> </w:t>
      </w:r>
      <w:r w:rsidRPr="00224986">
        <w:t xml:space="preserve">Victoria Police Corporate Statistics </w:t>
      </w:r>
      <w:r w:rsidRPr="0008346E">
        <w:t>Extracte</w:t>
      </w:r>
      <w:r>
        <w:t>d from LEAP</w:t>
      </w:r>
      <w:r w:rsidRPr="00224986">
        <w:t xml:space="preserve"> </w:t>
      </w:r>
      <w:hyperlink r:id="rId1" w:history="1">
        <w:r w:rsidRPr="00224986">
          <w:rPr>
            <w:rStyle w:val="Hyperlink"/>
          </w:rPr>
          <w:t>http://www.police.vic.gov.au/content.asp?a=internetBridgingPage&amp;Media_ID=72311</w:t>
        </w:r>
      </w:hyperlink>
    </w:p>
  </w:endnote>
  <w:endnote w:id="8">
    <w:p w:rsidR="00F73C34" w:rsidRDefault="00F73C34" w:rsidP="00F73C34">
      <w:pPr>
        <w:pStyle w:val="EndnoteText"/>
      </w:pPr>
      <w:r>
        <w:rPr>
          <w:rStyle w:val="EndnoteReference"/>
        </w:rPr>
        <w:endnoteRef/>
      </w:r>
      <w:r>
        <w:t xml:space="preserve"> </w:t>
      </w:r>
      <w:r w:rsidRPr="00A97927">
        <w:t xml:space="preserve">Family Incident Reports – 2007/08 to 2011/12 </w:t>
      </w:r>
      <w:hyperlink r:id="rId2" w:history="1">
        <w:r w:rsidRPr="00A97927">
          <w:rPr>
            <w:rStyle w:val="Hyperlink"/>
          </w:rPr>
          <w:t>http://www.police.vic.gov.au/content.asp?a=internetBridgingPage&amp;Media_ID=72311</w:t>
        </w:r>
      </w:hyperlink>
      <w:r w:rsidRPr="00A97927">
        <w:t xml:space="preserve"> </w:t>
      </w:r>
    </w:p>
  </w:endnote>
  <w:endnote w:id="9">
    <w:p w:rsidR="00F73C34" w:rsidRDefault="00F73C34" w:rsidP="00F73C34">
      <w:pPr>
        <w:pStyle w:val="EndnoteText"/>
      </w:pPr>
      <w:r>
        <w:rPr>
          <w:rStyle w:val="EndnoteReference"/>
        </w:rPr>
        <w:endnoteRef/>
      </w:r>
      <w:r>
        <w:t xml:space="preserve"> </w:t>
      </w:r>
      <w:r w:rsidRPr="00BA176C">
        <w:t xml:space="preserve">City of Whittlesea, Profile.id, </w:t>
      </w:r>
      <w:hyperlink r:id="rId3" w:history="1">
        <w:r w:rsidRPr="00BA176C">
          <w:rPr>
            <w:rStyle w:val="Hyperlink"/>
          </w:rPr>
          <w:t>http://profile.id.com.au/whittlesea/home</w:t>
        </w:r>
      </w:hyperlink>
    </w:p>
  </w:endnote>
  <w:endnote w:id="10">
    <w:p w:rsidR="00F73C34" w:rsidRDefault="00F73C34" w:rsidP="00F73C34">
      <w:pPr>
        <w:pStyle w:val="EndnoteText"/>
      </w:pPr>
      <w:r>
        <w:rPr>
          <w:rStyle w:val="EndnoteReference"/>
        </w:rPr>
        <w:endnoteRef/>
      </w:r>
      <w:r>
        <w:t xml:space="preserve"> </w:t>
      </w:r>
      <w:r w:rsidRPr="00A97927">
        <w:t>ABS, 2012, Census of Population and Housing, 2011, ABS: Canberra</w:t>
      </w:r>
    </w:p>
  </w:endnote>
  <w:endnote w:id="11">
    <w:p w:rsidR="00F73C34" w:rsidRDefault="00F73C34" w:rsidP="00F73C34">
      <w:pPr>
        <w:pStyle w:val="EndnoteText"/>
      </w:pPr>
      <w:r>
        <w:rPr>
          <w:rStyle w:val="EndnoteReference"/>
        </w:rPr>
        <w:endnoteRef/>
      </w:r>
      <w:r>
        <w:t xml:space="preserve"> </w:t>
      </w:r>
      <w:r w:rsidRPr="00A97927">
        <w:t xml:space="preserve">City of Greater </w:t>
      </w:r>
      <w:proofErr w:type="spellStart"/>
      <w:r w:rsidRPr="00A97927">
        <w:t>Dandenong</w:t>
      </w:r>
      <w:proofErr w:type="spellEnd"/>
      <w:r w:rsidRPr="00A97927">
        <w:t xml:space="preserve">, 2013, ‘Gambling venues, machines and losses’, Data compiled from Victorian Commission for Gambling and Liquor Regulation and ABS data, </w:t>
      </w:r>
      <w:hyperlink r:id="rId4" w:history="1">
        <w:r w:rsidRPr="00BA176C">
          <w:rPr>
            <w:rStyle w:val="Hyperlink"/>
            <w:shd w:val="clear" w:color="auto" w:fill="FFFFFF"/>
          </w:rPr>
          <w:t>http://www.socialstatistics.com.au/</w:t>
        </w:r>
      </w:hyperlink>
    </w:p>
  </w:endnote>
  <w:endnote w:id="12">
    <w:p w:rsidR="00F73C34" w:rsidRDefault="00F73C34" w:rsidP="00F73C34">
      <w:pPr>
        <w:pStyle w:val="EndnoteText"/>
      </w:pPr>
      <w:r>
        <w:rPr>
          <w:rStyle w:val="EndnoteReference"/>
        </w:rPr>
        <w:endnoteRef/>
      </w:r>
      <w:r>
        <w:t xml:space="preserve"> </w:t>
      </w:r>
      <w:proofErr w:type="spellStart"/>
      <w:proofErr w:type="gramStart"/>
      <w:r w:rsidRPr="00BA176C">
        <w:t>VicHealth</w:t>
      </w:r>
      <w:proofErr w:type="spellEnd"/>
      <w:r w:rsidRPr="00BA176C">
        <w:t xml:space="preserve"> Indicator Survey.</w:t>
      </w:r>
      <w:proofErr w:type="gramEnd"/>
      <w:r w:rsidRPr="00BA176C">
        <w:t xml:space="preserve"> 2011. </w:t>
      </w:r>
      <w:proofErr w:type="spellStart"/>
      <w:r w:rsidRPr="00BA176C">
        <w:t>VicHealth</w:t>
      </w:r>
      <w:proofErr w:type="spellEnd"/>
      <w:r w:rsidRPr="00BA176C">
        <w:t xml:space="preserve"> &amp; University of Melbourne</w:t>
      </w:r>
    </w:p>
  </w:endnote>
  <w:endnote w:id="13">
    <w:p w:rsidR="00F73C34" w:rsidRDefault="00F73C34" w:rsidP="00F73C34">
      <w:pPr>
        <w:pStyle w:val="EndnoteText"/>
      </w:pPr>
      <w:r>
        <w:rPr>
          <w:rStyle w:val="EndnoteReference"/>
        </w:rPr>
        <w:endnoteRef/>
      </w:r>
      <w:r>
        <w:t xml:space="preserve"> </w:t>
      </w:r>
      <w:proofErr w:type="gramStart"/>
      <w:r w:rsidRPr="00BA176C">
        <w:t>P</w:t>
      </w:r>
      <w:r w:rsidRPr="005E6F6A">
        <w:t>lace-based approaches to supporting children and families.</w:t>
      </w:r>
      <w:proofErr w:type="gramEnd"/>
      <w:r w:rsidRPr="005E6F6A">
        <w:t xml:space="preserve"> 2012. Centre for Community Child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45639"/>
      <w:docPartObj>
        <w:docPartGallery w:val="Page Numbers (Bottom of Page)"/>
        <w:docPartUnique/>
      </w:docPartObj>
    </w:sdtPr>
    <w:sdtEndPr>
      <w:rPr>
        <w:noProof/>
        <w:sz w:val="16"/>
      </w:rPr>
    </w:sdtEndPr>
    <w:sdtContent>
      <w:p w:rsidR="002D741B" w:rsidRPr="002D741B" w:rsidRDefault="002D741B">
        <w:pPr>
          <w:pStyle w:val="Footer"/>
          <w:jc w:val="right"/>
          <w:rPr>
            <w:sz w:val="16"/>
          </w:rPr>
        </w:pPr>
        <w:r w:rsidRPr="002D741B">
          <w:rPr>
            <w:sz w:val="16"/>
          </w:rPr>
          <w:fldChar w:fldCharType="begin"/>
        </w:r>
        <w:r w:rsidRPr="002D741B">
          <w:rPr>
            <w:sz w:val="16"/>
          </w:rPr>
          <w:instrText xml:space="preserve"> PAGE   \* MERGEFORMAT </w:instrText>
        </w:r>
        <w:r w:rsidRPr="002D741B">
          <w:rPr>
            <w:sz w:val="16"/>
          </w:rPr>
          <w:fldChar w:fldCharType="separate"/>
        </w:r>
        <w:r w:rsidR="00F333F6">
          <w:rPr>
            <w:noProof/>
            <w:sz w:val="16"/>
          </w:rPr>
          <w:t>41</w:t>
        </w:r>
        <w:r w:rsidRPr="002D741B">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9D" w:rsidRDefault="00C212ED">
      <w:r>
        <w:separator/>
      </w:r>
    </w:p>
  </w:footnote>
  <w:footnote w:type="continuationSeparator" w:id="0">
    <w:p w:rsidR="00295C9D"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F333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F333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F333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4944EA9"/>
    <w:multiLevelType w:val="hybridMultilevel"/>
    <w:tmpl w:val="E3A84B3E"/>
    <w:lvl w:ilvl="0" w:tplc="D8EC5EFC">
      <w:start w:val="1"/>
      <w:numFmt w:val="bullet"/>
      <w:lvlText w:val=""/>
      <w:lvlJc w:val="left"/>
      <w:pPr>
        <w:tabs>
          <w:tab w:val="num" w:pos="720"/>
        </w:tabs>
        <w:ind w:left="720" w:hanging="360"/>
      </w:pPr>
      <w:rPr>
        <w:rFonts w:ascii="Wingdings" w:hAnsi="Wingdings" w:hint="default"/>
      </w:rPr>
    </w:lvl>
    <w:lvl w:ilvl="1" w:tplc="43AA5FDA">
      <w:start w:val="1"/>
      <w:numFmt w:val="bullet"/>
      <w:lvlText w:val=""/>
      <w:lvlJc w:val="left"/>
      <w:pPr>
        <w:tabs>
          <w:tab w:val="num" w:pos="1440"/>
        </w:tabs>
        <w:ind w:left="1440" w:hanging="360"/>
      </w:pPr>
      <w:rPr>
        <w:rFonts w:ascii="Wingdings" w:hAnsi="Wingdings" w:hint="default"/>
      </w:rPr>
    </w:lvl>
    <w:lvl w:ilvl="2" w:tplc="9F8E9478">
      <w:start w:val="1"/>
      <w:numFmt w:val="bullet"/>
      <w:lvlText w:val=""/>
      <w:lvlJc w:val="left"/>
      <w:pPr>
        <w:tabs>
          <w:tab w:val="num" w:pos="2160"/>
        </w:tabs>
        <w:ind w:left="2160" w:hanging="360"/>
      </w:pPr>
      <w:rPr>
        <w:rFonts w:ascii="Wingdings" w:hAnsi="Wingdings" w:hint="default"/>
      </w:rPr>
    </w:lvl>
    <w:lvl w:ilvl="3" w:tplc="33583BE0">
      <w:start w:val="1"/>
      <w:numFmt w:val="bullet"/>
      <w:lvlText w:val=""/>
      <w:lvlJc w:val="left"/>
      <w:pPr>
        <w:tabs>
          <w:tab w:val="num" w:pos="2880"/>
        </w:tabs>
        <w:ind w:left="2880" w:hanging="360"/>
      </w:pPr>
      <w:rPr>
        <w:rFonts w:ascii="Wingdings" w:hAnsi="Wingdings" w:hint="default"/>
      </w:rPr>
    </w:lvl>
    <w:lvl w:ilvl="4" w:tplc="5DAE4B2C">
      <w:start w:val="1"/>
      <w:numFmt w:val="bullet"/>
      <w:lvlText w:val=""/>
      <w:lvlJc w:val="left"/>
      <w:pPr>
        <w:tabs>
          <w:tab w:val="num" w:pos="3600"/>
        </w:tabs>
        <w:ind w:left="3600" w:hanging="360"/>
      </w:pPr>
      <w:rPr>
        <w:rFonts w:ascii="Wingdings" w:hAnsi="Wingdings" w:hint="default"/>
      </w:rPr>
    </w:lvl>
    <w:lvl w:ilvl="5" w:tplc="367470CC">
      <w:start w:val="1"/>
      <w:numFmt w:val="bullet"/>
      <w:lvlText w:val=""/>
      <w:lvlJc w:val="left"/>
      <w:pPr>
        <w:tabs>
          <w:tab w:val="num" w:pos="4320"/>
        </w:tabs>
        <w:ind w:left="4320" w:hanging="360"/>
      </w:pPr>
      <w:rPr>
        <w:rFonts w:ascii="Wingdings" w:hAnsi="Wingdings" w:hint="default"/>
      </w:rPr>
    </w:lvl>
    <w:lvl w:ilvl="6" w:tplc="D076BB5E">
      <w:start w:val="1"/>
      <w:numFmt w:val="bullet"/>
      <w:lvlText w:val=""/>
      <w:lvlJc w:val="left"/>
      <w:pPr>
        <w:tabs>
          <w:tab w:val="num" w:pos="5040"/>
        </w:tabs>
        <w:ind w:left="5040" w:hanging="360"/>
      </w:pPr>
      <w:rPr>
        <w:rFonts w:ascii="Wingdings" w:hAnsi="Wingdings" w:hint="default"/>
      </w:rPr>
    </w:lvl>
    <w:lvl w:ilvl="7" w:tplc="830E53CA">
      <w:start w:val="1"/>
      <w:numFmt w:val="bullet"/>
      <w:lvlText w:val=""/>
      <w:lvlJc w:val="left"/>
      <w:pPr>
        <w:tabs>
          <w:tab w:val="num" w:pos="5760"/>
        </w:tabs>
        <w:ind w:left="5760" w:hanging="360"/>
      </w:pPr>
      <w:rPr>
        <w:rFonts w:ascii="Wingdings" w:hAnsi="Wingdings" w:hint="default"/>
      </w:rPr>
    </w:lvl>
    <w:lvl w:ilvl="8" w:tplc="F110743C">
      <w:start w:val="1"/>
      <w:numFmt w:val="bullet"/>
      <w:lvlText w:val=""/>
      <w:lvlJc w:val="left"/>
      <w:pPr>
        <w:tabs>
          <w:tab w:val="num" w:pos="6480"/>
        </w:tabs>
        <w:ind w:left="6480" w:hanging="360"/>
      </w:pPr>
      <w:rPr>
        <w:rFonts w:ascii="Wingdings" w:hAnsi="Wingdings" w:hint="default"/>
      </w:rPr>
    </w:lvl>
  </w:abstractNum>
  <w:abstractNum w:abstractNumId="2">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17756"/>
    <w:multiLevelType w:val="hybridMultilevel"/>
    <w:tmpl w:val="9CC4A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81236"/>
    <w:multiLevelType w:val="hybridMultilevel"/>
    <w:tmpl w:val="9A22B1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2EFF2A62"/>
    <w:multiLevelType w:val="hybridMultilevel"/>
    <w:tmpl w:val="431A9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D21CAC"/>
    <w:multiLevelType w:val="hybridMultilevel"/>
    <w:tmpl w:val="5AC83524"/>
    <w:lvl w:ilvl="0" w:tplc="1D384400">
      <w:start w:val="1"/>
      <w:numFmt w:val="bullet"/>
      <w:lvlText w:val=""/>
      <w:lvlJc w:val="left"/>
      <w:pPr>
        <w:tabs>
          <w:tab w:val="num" w:pos="720"/>
        </w:tabs>
        <w:ind w:left="720" w:hanging="360"/>
      </w:pPr>
      <w:rPr>
        <w:rFonts w:ascii="Wingdings" w:hAnsi="Wingdings" w:hint="default"/>
      </w:rPr>
    </w:lvl>
    <w:lvl w:ilvl="1" w:tplc="04882234">
      <w:start w:val="1"/>
      <w:numFmt w:val="bullet"/>
      <w:lvlText w:val=""/>
      <w:lvlJc w:val="left"/>
      <w:pPr>
        <w:tabs>
          <w:tab w:val="num" w:pos="1440"/>
        </w:tabs>
        <w:ind w:left="1440" w:hanging="360"/>
      </w:pPr>
      <w:rPr>
        <w:rFonts w:ascii="Wingdings" w:hAnsi="Wingdings" w:hint="default"/>
      </w:rPr>
    </w:lvl>
    <w:lvl w:ilvl="2" w:tplc="693201B0">
      <w:start w:val="1"/>
      <w:numFmt w:val="bullet"/>
      <w:lvlText w:val=""/>
      <w:lvlJc w:val="left"/>
      <w:pPr>
        <w:tabs>
          <w:tab w:val="num" w:pos="2160"/>
        </w:tabs>
        <w:ind w:left="2160" w:hanging="360"/>
      </w:pPr>
      <w:rPr>
        <w:rFonts w:ascii="Wingdings" w:hAnsi="Wingdings" w:hint="default"/>
      </w:rPr>
    </w:lvl>
    <w:lvl w:ilvl="3" w:tplc="3118C568">
      <w:start w:val="1"/>
      <w:numFmt w:val="bullet"/>
      <w:lvlText w:val=""/>
      <w:lvlJc w:val="left"/>
      <w:pPr>
        <w:tabs>
          <w:tab w:val="num" w:pos="2880"/>
        </w:tabs>
        <w:ind w:left="2880" w:hanging="360"/>
      </w:pPr>
      <w:rPr>
        <w:rFonts w:ascii="Wingdings" w:hAnsi="Wingdings" w:hint="default"/>
      </w:rPr>
    </w:lvl>
    <w:lvl w:ilvl="4" w:tplc="9DD20BB2">
      <w:start w:val="1"/>
      <w:numFmt w:val="bullet"/>
      <w:lvlText w:val=""/>
      <w:lvlJc w:val="left"/>
      <w:pPr>
        <w:tabs>
          <w:tab w:val="num" w:pos="3600"/>
        </w:tabs>
        <w:ind w:left="3600" w:hanging="360"/>
      </w:pPr>
      <w:rPr>
        <w:rFonts w:ascii="Wingdings" w:hAnsi="Wingdings" w:hint="default"/>
      </w:rPr>
    </w:lvl>
    <w:lvl w:ilvl="5" w:tplc="E60E2438">
      <w:start w:val="1"/>
      <w:numFmt w:val="bullet"/>
      <w:lvlText w:val=""/>
      <w:lvlJc w:val="left"/>
      <w:pPr>
        <w:tabs>
          <w:tab w:val="num" w:pos="4320"/>
        </w:tabs>
        <w:ind w:left="4320" w:hanging="360"/>
      </w:pPr>
      <w:rPr>
        <w:rFonts w:ascii="Wingdings" w:hAnsi="Wingdings" w:hint="default"/>
      </w:rPr>
    </w:lvl>
    <w:lvl w:ilvl="6" w:tplc="BD4A3B5E">
      <w:start w:val="1"/>
      <w:numFmt w:val="bullet"/>
      <w:lvlText w:val=""/>
      <w:lvlJc w:val="left"/>
      <w:pPr>
        <w:tabs>
          <w:tab w:val="num" w:pos="5040"/>
        </w:tabs>
        <w:ind w:left="5040" w:hanging="360"/>
      </w:pPr>
      <w:rPr>
        <w:rFonts w:ascii="Wingdings" w:hAnsi="Wingdings" w:hint="default"/>
      </w:rPr>
    </w:lvl>
    <w:lvl w:ilvl="7" w:tplc="14508432">
      <w:start w:val="1"/>
      <w:numFmt w:val="bullet"/>
      <w:lvlText w:val=""/>
      <w:lvlJc w:val="left"/>
      <w:pPr>
        <w:tabs>
          <w:tab w:val="num" w:pos="5760"/>
        </w:tabs>
        <w:ind w:left="5760" w:hanging="360"/>
      </w:pPr>
      <w:rPr>
        <w:rFonts w:ascii="Wingdings" w:hAnsi="Wingdings" w:hint="default"/>
      </w:rPr>
    </w:lvl>
    <w:lvl w:ilvl="8" w:tplc="06181CCE">
      <w:start w:val="1"/>
      <w:numFmt w:val="bullet"/>
      <w:lvlText w:val=""/>
      <w:lvlJc w:val="left"/>
      <w:pPr>
        <w:tabs>
          <w:tab w:val="num" w:pos="6480"/>
        </w:tabs>
        <w:ind w:left="6480" w:hanging="360"/>
      </w:pPr>
      <w:rPr>
        <w:rFonts w:ascii="Wingdings" w:hAnsi="Wingdings" w:hint="default"/>
      </w:rPr>
    </w:lvl>
  </w:abstractNum>
  <w:abstractNum w:abstractNumId="9">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5F06CA"/>
    <w:multiLevelType w:val="hybridMultilevel"/>
    <w:tmpl w:val="57A83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5A477B2"/>
    <w:multiLevelType w:val="hybridMultilevel"/>
    <w:tmpl w:val="63342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8260A34"/>
    <w:multiLevelType w:val="hybridMultilevel"/>
    <w:tmpl w:val="28826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5"/>
  </w:num>
  <w:num w:numId="5">
    <w:abstractNumId w:val="2"/>
  </w:num>
  <w:num w:numId="6">
    <w:abstractNumId w:val="7"/>
  </w:num>
  <w:num w:numId="7">
    <w:abstractNumId w:val="12"/>
  </w:num>
  <w:num w:numId="8">
    <w:abstractNumId w:val="4"/>
  </w:num>
  <w:num w:numId="9">
    <w:abstractNumId w:val="9"/>
  </w:num>
  <w:num w:numId="10">
    <w:abstractNumId w:val="10"/>
  </w:num>
  <w:num w:numId="11">
    <w:abstractNumId w:val="6"/>
  </w:num>
  <w:num w:numId="12">
    <w:abstractNumId w:val="8"/>
  </w:num>
  <w:num w:numId="13">
    <w:abstractNumId w:val="1"/>
  </w:num>
  <w:num w:numId="14">
    <w:abstractNumId w:val="11"/>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05508E"/>
    <w:rsid w:val="00295C9D"/>
    <w:rsid w:val="002D741B"/>
    <w:rsid w:val="00376536"/>
    <w:rsid w:val="003F783A"/>
    <w:rsid w:val="004E1C41"/>
    <w:rsid w:val="00702727"/>
    <w:rsid w:val="00C212ED"/>
    <w:rsid w:val="00C34426"/>
    <w:rsid w:val="00F063AF"/>
    <w:rsid w:val="00F3282B"/>
    <w:rsid w:val="00F333F6"/>
    <w:rsid w:val="00F73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styleId="FootnoteReference">
    <w:name w:val="footnote reference"/>
    <w:basedOn w:val="DefaultParagraphFont"/>
    <w:unhideWhenUsed/>
    <w:rsid w:val="00F73C34"/>
    <w:rPr>
      <w:vertAlign w:val="superscript"/>
    </w:rPr>
  </w:style>
  <w:style w:type="paragraph" w:styleId="NoSpacing">
    <w:name w:val="No Spacing"/>
    <w:uiPriority w:val="1"/>
    <w:qFormat/>
    <w:rsid w:val="00F73C34"/>
    <w:rPr>
      <w:sz w:val="22"/>
      <w:szCs w:val="22"/>
      <w:lang w:val="en-AU"/>
    </w:rPr>
  </w:style>
  <w:style w:type="paragraph" w:styleId="ListParagraph">
    <w:name w:val="List Paragraph"/>
    <w:basedOn w:val="Normal"/>
    <w:uiPriority w:val="34"/>
    <w:qFormat/>
    <w:rsid w:val="00F73C34"/>
    <w:pPr>
      <w:spacing w:after="200" w:line="276" w:lineRule="auto"/>
      <w:ind w:left="720"/>
      <w:contextualSpacing/>
    </w:pPr>
    <w:rPr>
      <w:sz w:val="22"/>
      <w:szCs w:val="22"/>
      <w:lang w:val="en-AU"/>
    </w:rPr>
  </w:style>
  <w:style w:type="character" w:styleId="Hyperlink">
    <w:name w:val="Hyperlink"/>
    <w:basedOn w:val="DefaultParagraphFont"/>
    <w:uiPriority w:val="99"/>
    <w:unhideWhenUsed/>
    <w:rsid w:val="00F73C34"/>
    <w:rPr>
      <w:color w:val="0000FF" w:themeColor="hyperlink"/>
      <w:u w:val="single"/>
    </w:rPr>
  </w:style>
  <w:style w:type="paragraph" w:styleId="Title">
    <w:name w:val="Title"/>
    <w:basedOn w:val="Normal"/>
    <w:next w:val="Normal"/>
    <w:link w:val="TitleChar"/>
    <w:uiPriority w:val="10"/>
    <w:qFormat/>
    <w:rsid w:val="00F73C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F73C34"/>
    <w:rPr>
      <w:rFonts w:asciiTheme="majorHAnsi" w:eastAsiaTheme="majorEastAsia" w:hAnsiTheme="majorHAnsi" w:cstheme="majorBidi"/>
      <w:color w:val="17365D" w:themeColor="text2" w:themeShade="BF"/>
      <w:spacing w:val="5"/>
      <w:kern w:val="28"/>
      <w:sz w:val="52"/>
      <w:szCs w:val="52"/>
      <w:lang w:val="en-AU" w:eastAsia="en-AU"/>
    </w:rPr>
  </w:style>
  <w:style w:type="table" w:styleId="LightShading">
    <w:name w:val="Light Shading"/>
    <w:basedOn w:val="TableNormal"/>
    <w:uiPriority w:val="60"/>
    <w:rsid w:val="00F73C34"/>
    <w:rPr>
      <w:color w:val="000000" w:themeColor="text1" w:themeShade="BF"/>
      <w:sz w:val="22"/>
      <w:szCs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styleId="FootnoteReference">
    <w:name w:val="footnote reference"/>
    <w:basedOn w:val="DefaultParagraphFont"/>
    <w:unhideWhenUsed/>
    <w:rsid w:val="00F73C34"/>
    <w:rPr>
      <w:vertAlign w:val="superscript"/>
    </w:rPr>
  </w:style>
  <w:style w:type="paragraph" w:styleId="NoSpacing">
    <w:name w:val="No Spacing"/>
    <w:uiPriority w:val="1"/>
    <w:qFormat/>
    <w:rsid w:val="00F73C34"/>
    <w:rPr>
      <w:sz w:val="22"/>
      <w:szCs w:val="22"/>
      <w:lang w:val="en-AU"/>
    </w:rPr>
  </w:style>
  <w:style w:type="paragraph" w:styleId="ListParagraph">
    <w:name w:val="List Paragraph"/>
    <w:basedOn w:val="Normal"/>
    <w:uiPriority w:val="34"/>
    <w:qFormat/>
    <w:rsid w:val="00F73C34"/>
    <w:pPr>
      <w:spacing w:after="200" w:line="276" w:lineRule="auto"/>
      <w:ind w:left="720"/>
      <w:contextualSpacing/>
    </w:pPr>
    <w:rPr>
      <w:sz w:val="22"/>
      <w:szCs w:val="22"/>
      <w:lang w:val="en-AU"/>
    </w:rPr>
  </w:style>
  <w:style w:type="character" w:styleId="Hyperlink">
    <w:name w:val="Hyperlink"/>
    <w:basedOn w:val="DefaultParagraphFont"/>
    <w:uiPriority w:val="99"/>
    <w:unhideWhenUsed/>
    <w:rsid w:val="00F73C34"/>
    <w:rPr>
      <w:color w:val="0000FF" w:themeColor="hyperlink"/>
      <w:u w:val="single"/>
    </w:rPr>
  </w:style>
  <w:style w:type="paragraph" w:styleId="Title">
    <w:name w:val="Title"/>
    <w:basedOn w:val="Normal"/>
    <w:next w:val="Normal"/>
    <w:link w:val="TitleChar"/>
    <w:uiPriority w:val="10"/>
    <w:qFormat/>
    <w:rsid w:val="00F73C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F73C34"/>
    <w:rPr>
      <w:rFonts w:asciiTheme="majorHAnsi" w:eastAsiaTheme="majorEastAsia" w:hAnsiTheme="majorHAnsi" w:cstheme="majorBidi"/>
      <w:color w:val="17365D" w:themeColor="text2" w:themeShade="BF"/>
      <w:spacing w:val="5"/>
      <w:kern w:val="28"/>
      <w:sz w:val="52"/>
      <w:szCs w:val="52"/>
      <w:lang w:val="en-AU" w:eastAsia="en-AU"/>
    </w:rPr>
  </w:style>
  <w:style w:type="table" w:styleId="LightShading">
    <w:name w:val="Light Shading"/>
    <w:basedOn w:val="TableNormal"/>
    <w:uiPriority w:val="60"/>
    <w:rsid w:val="00F73C34"/>
    <w:rPr>
      <w:color w:val="000000" w:themeColor="text1" w:themeShade="BF"/>
      <w:sz w:val="22"/>
      <w:szCs w:val="22"/>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profile.id.com.au/whittlesea/home" TargetMode="External"/><Relationship Id="rId2" Type="http://schemas.openxmlformats.org/officeDocument/2006/relationships/hyperlink" Target="http://www.police.vic.gov.au/content.asp?a=internetBridgingPage&amp;Media_ID=72311" TargetMode="External"/><Relationship Id="rId1" Type="http://schemas.openxmlformats.org/officeDocument/2006/relationships/hyperlink" Target="http://www.police.vic.gov.au/content.asp?a=internetBridgingPage&amp;Media_ID=72311" TargetMode="External"/><Relationship Id="rId4" Type="http://schemas.openxmlformats.org/officeDocument/2006/relationships/hyperlink" Target="http://www.socialstatistic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ECE4C41B.dotm</Template>
  <TotalTime>5</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6</cp:revision>
  <cp:lastPrinted>2014-08-28T04:27:00Z</cp:lastPrinted>
  <dcterms:created xsi:type="dcterms:W3CDTF">2014-08-27T07:06:00Z</dcterms:created>
  <dcterms:modified xsi:type="dcterms:W3CDTF">2014-08-28T04:28:00Z</dcterms:modified>
</cp:coreProperties>
</file>