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FF" w:rsidRDefault="004B0A9C" w:rsidP="00F3282B">
      <w:pPr>
        <w:ind w:left="-1800" w:right="-1800" w:firstLine="1800"/>
        <w:rPr>
          <w:lang w:val="en-AU"/>
        </w:rPr>
      </w:pPr>
      <w:bookmarkStart w:id="0" w:name="_GoBack"/>
      <w:bookmarkEnd w:id="0"/>
      <w:r>
        <w:rPr>
          <w:rFonts w:ascii="Arial" w:hAnsi="Arial" w:cs="Arial"/>
          <w:sz w:val="20"/>
          <w:lang w:val="en-AU"/>
        </w:rPr>
        <w:t>ADVOCACY FACT SHEET 5</w:t>
      </w:r>
    </w:p>
    <w:p w:rsidR="003264FF" w:rsidRDefault="003264FF" w:rsidP="00F3282B">
      <w:pPr>
        <w:ind w:left="-1800" w:right="-1800" w:firstLine="1800"/>
        <w:rPr>
          <w:lang w:val="en-AU"/>
        </w:rPr>
      </w:pPr>
    </w:p>
    <w:p w:rsidR="004B0A9C" w:rsidRPr="004B0A9C" w:rsidRDefault="004B0A9C" w:rsidP="003264FF">
      <w:pPr>
        <w:pBdr>
          <w:bottom w:val="single" w:sz="8" w:space="11" w:color="4F81BD"/>
        </w:pBdr>
        <w:spacing w:after="300"/>
        <w:contextualSpacing/>
        <w:rPr>
          <w:rFonts w:ascii="Arial" w:eastAsia="Times New Roman" w:hAnsi="Arial" w:cs="Arial"/>
          <w:color w:val="17365D"/>
          <w:spacing w:val="5"/>
          <w:kern w:val="28"/>
          <w:sz w:val="22"/>
          <w:szCs w:val="44"/>
          <w:lang w:val="en-AU"/>
        </w:rPr>
      </w:pPr>
    </w:p>
    <w:p w:rsidR="004B0A9C" w:rsidRDefault="003264FF" w:rsidP="003264FF">
      <w:pPr>
        <w:pBdr>
          <w:bottom w:val="single" w:sz="8" w:space="11" w:color="4F81BD"/>
        </w:pBdr>
        <w:spacing w:after="300"/>
        <w:contextualSpacing/>
        <w:rPr>
          <w:rFonts w:ascii="Arial" w:eastAsia="Times New Roman" w:hAnsi="Arial" w:cs="Arial"/>
          <w:color w:val="17365D"/>
          <w:spacing w:val="5"/>
          <w:kern w:val="28"/>
          <w:sz w:val="44"/>
          <w:szCs w:val="44"/>
          <w:lang w:val="en-AU"/>
        </w:rPr>
      </w:pPr>
      <w:r w:rsidRPr="003264FF">
        <w:rPr>
          <w:rFonts w:ascii="Arial" w:eastAsia="Times New Roman" w:hAnsi="Arial" w:cs="Arial"/>
          <w:color w:val="17365D"/>
          <w:spacing w:val="5"/>
          <w:kern w:val="28"/>
          <w:sz w:val="44"/>
          <w:szCs w:val="44"/>
          <w:lang w:val="en-AU"/>
        </w:rPr>
        <w:t xml:space="preserve">Increased </w:t>
      </w:r>
      <w:r>
        <w:rPr>
          <w:rFonts w:ascii="Arial" w:eastAsia="Times New Roman" w:hAnsi="Arial" w:cs="Arial"/>
          <w:color w:val="17365D"/>
          <w:spacing w:val="5"/>
          <w:kern w:val="28"/>
          <w:sz w:val="44"/>
          <w:szCs w:val="44"/>
          <w:lang w:val="en-AU"/>
        </w:rPr>
        <w:t xml:space="preserve">Access to </w:t>
      </w:r>
    </w:p>
    <w:p w:rsidR="003264FF" w:rsidRPr="003264FF" w:rsidRDefault="003264FF" w:rsidP="003264FF">
      <w:pPr>
        <w:pBdr>
          <w:bottom w:val="single" w:sz="8" w:space="11" w:color="4F81BD"/>
        </w:pBdr>
        <w:spacing w:after="300"/>
        <w:contextualSpacing/>
        <w:rPr>
          <w:rFonts w:ascii="Arial" w:eastAsia="Times New Roman" w:hAnsi="Arial" w:cs="Arial"/>
          <w:color w:val="17365D"/>
          <w:spacing w:val="5"/>
          <w:kern w:val="28"/>
          <w:sz w:val="44"/>
          <w:szCs w:val="44"/>
          <w:lang w:val="en-AU"/>
        </w:rPr>
      </w:pPr>
      <w:r>
        <w:rPr>
          <w:rFonts w:ascii="Arial" w:eastAsia="Times New Roman" w:hAnsi="Arial" w:cs="Arial"/>
          <w:color w:val="17365D"/>
          <w:spacing w:val="5"/>
          <w:kern w:val="28"/>
          <w:sz w:val="44"/>
          <w:szCs w:val="44"/>
          <w:lang w:val="en-AU"/>
        </w:rPr>
        <w:t>Men’s Behaviour Change P</w:t>
      </w:r>
      <w:r w:rsidRPr="003264FF">
        <w:rPr>
          <w:rFonts w:ascii="Arial" w:eastAsia="Times New Roman" w:hAnsi="Arial" w:cs="Arial"/>
          <w:color w:val="17365D"/>
          <w:spacing w:val="5"/>
          <w:kern w:val="28"/>
          <w:sz w:val="44"/>
          <w:szCs w:val="44"/>
          <w:lang w:val="en-AU"/>
        </w:rPr>
        <w:t>rograms</w:t>
      </w:r>
    </w:p>
    <w:p w:rsidR="003264FF" w:rsidRDefault="003264FF" w:rsidP="003264FF">
      <w:pPr>
        <w:keepNext/>
        <w:spacing w:line="280" w:lineRule="exact"/>
        <w:outlineLvl w:val="0"/>
        <w:rPr>
          <w:rFonts w:ascii="Arial" w:eastAsia="Times New Roman" w:hAnsi="Arial" w:cs="Arial"/>
          <w:b/>
          <w:color w:val="17365D"/>
          <w:sz w:val="22"/>
          <w:szCs w:val="22"/>
          <w:lang w:val="en-GB" w:eastAsia="en-AU"/>
        </w:rPr>
      </w:pPr>
    </w:p>
    <w:p w:rsidR="003264FF" w:rsidRPr="003264FF" w:rsidRDefault="003264FF" w:rsidP="003264FF">
      <w:pPr>
        <w:keepNext/>
        <w:spacing w:line="280" w:lineRule="exact"/>
        <w:outlineLvl w:val="0"/>
        <w:rPr>
          <w:rFonts w:ascii="Arial" w:eastAsia="Times New Roman" w:hAnsi="Arial" w:cs="Arial"/>
          <w:b/>
          <w:color w:val="17365D"/>
          <w:sz w:val="22"/>
          <w:szCs w:val="22"/>
          <w:lang w:val="en-GB" w:eastAsia="en-AU"/>
        </w:rPr>
      </w:pPr>
      <w:r w:rsidRPr="003264FF">
        <w:rPr>
          <w:rFonts w:ascii="Arial" w:eastAsia="Times New Roman" w:hAnsi="Arial" w:cs="Arial"/>
          <w:b/>
          <w:color w:val="17365D"/>
          <w:sz w:val="22"/>
          <w:szCs w:val="22"/>
          <w:lang w:val="en-GB" w:eastAsia="en-AU"/>
        </w:rPr>
        <w:t>Whittlesea Community Futures is seeking State and Federal Government support for tailored, culturally appropriate and language specific men’s behaviour change programs</w:t>
      </w: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r w:rsidRPr="003264FF">
        <w:rPr>
          <w:rFonts w:ascii="Arial" w:eastAsia="Times New Roman" w:hAnsi="Arial" w:cs="Arial"/>
          <w:b/>
          <w:color w:val="0070C0"/>
          <w:sz w:val="22"/>
          <w:szCs w:val="22"/>
          <w:lang w:val="en-GB" w:eastAsia="en-AU"/>
        </w:rPr>
        <w:t>What is happening right now?</w:t>
      </w: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numPr>
          <w:ilvl w:val="0"/>
          <w:numId w:val="17"/>
        </w:numPr>
        <w:autoSpaceDE w:val="0"/>
        <w:autoSpaceDN w:val="0"/>
        <w:adjustRightInd w:val="0"/>
        <w:spacing w:line="280" w:lineRule="exact"/>
        <w:jc w:val="both"/>
        <w:rPr>
          <w:rFonts w:ascii="Arial" w:eastAsia="Times New Roman" w:hAnsi="Arial" w:cs="Arial"/>
          <w:sz w:val="22"/>
          <w:szCs w:val="22"/>
        </w:rPr>
      </w:pPr>
      <w:r w:rsidRPr="003264FF">
        <w:rPr>
          <w:rFonts w:ascii="Arial" w:eastAsia="Times New Roman" w:hAnsi="Arial" w:cs="Arial"/>
          <w:sz w:val="22"/>
          <w:szCs w:val="22"/>
        </w:rPr>
        <w:t xml:space="preserve">2,110 family violence incidents in 2012-13 were reported to Victoria Police including one homicide (an increase of 35% on the previous year); </w:t>
      </w:r>
      <w:proofErr w:type="gramStart"/>
      <w:r w:rsidRPr="003264FF">
        <w:rPr>
          <w:rFonts w:ascii="Arial" w:eastAsia="Times New Roman" w:hAnsi="Arial" w:cs="Arial"/>
          <w:sz w:val="22"/>
          <w:szCs w:val="22"/>
        </w:rPr>
        <w:t>In</w:t>
      </w:r>
      <w:proofErr w:type="gramEnd"/>
      <w:r w:rsidRPr="003264FF">
        <w:rPr>
          <w:rFonts w:ascii="Arial" w:eastAsia="Times New Roman" w:hAnsi="Arial" w:cs="Arial"/>
          <w:sz w:val="22"/>
          <w:szCs w:val="22"/>
        </w:rPr>
        <w:t xml:space="preserve"> 743 of these incidents children were present.</w:t>
      </w:r>
      <w:r w:rsidRPr="003264FF">
        <w:rPr>
          <w:rFonts w:ascii="Arial" w:eastAsia="Times New Roman" w:hAnsi="Arial" w:cs="Arial"/>
          <w:sz w:val="22"/>
          <w:szCs w:val="22"/>
          <w:vertAlign w:val="superscript"/>
        </w:rPr>
        <w:endnoteReference w:id="1"/>
      </w:r>
    </w:p>
    <w:p w:rsidR="003264FF" w:rsidRPr="003264FF" w:rsidRDefault="003264FF" w:rsidP="003264FF">
      <w:pPr>
        <w:autoSpaceDE w:val="0"/>
        <w:autoSpaceDN w:val="0"/>
        <w:adjustRightInd w:val="0"/>
        <w:spacing w:line="280" w:lineRule="exact"/>
        <w:jc w:val="both"/>
        <w:rPr>
          <w:rFonts w:ascii="Arial" w:eastAsia="Times New Roman" w:hAnsi="Arial" w:cs="Arial"/>
          <w:sz w:val="22"/>
          <w:szCs w:val="22"/>
        </w:rPr>
      </w:pPr>
    </w:p>
    <w:p w:rsidR="003264FF" w:rsidRPr="003264FF" w:rsidRDefault="003264FF" w:rsidP="003264FF">
      <w:pPr>
        <w:numPr>
          <w:ilvl w:val="0"/>
          <w:numId w:val="17"/>
        </w:numPr>
        <w:autoSpaceDE w:val="0"/>
        <w:autoSpaceDN w:val="0"/>
        <w:adjustRightInd w:val="0"/>
        <w:spacing w:line="280" w:lineRule="exact"/>
        <w:jc w:val="both"/>
        <w:rPr>
          <w:rFonts w:ascii="Arial" w:eastAsia="Times New Roman" w:hAnsi="Arial" w:cs="Arial"/>
          <w:sz w:val="22"/>
          <w:szCs w:val="22"/>
        </w:rPr>
      </w:pPr>
      <w:proofErr w:type="gramStart"/>
      <w:r w:rsidRPr="003264FF">
        <w:rPr>
          <w:rFonts w:ascii="Arial" w:eastAsia="Times New Roman" w:hAnsi="Arial" w:cs="Arial"/>
          <w:sz w:val="22"/>
          <w:szCs w:val="22"/>
        </w:rPr>
        <w:t>An average of 41 family violence incidents are</w:t>
      </w:r>
      <w:proofErr w:type="gramEnd"/>
      <w:r w:rsidRPr="003264FF">
        <w:rPr>
          <w:rFonts w:ascii="Arial" w:eastAsia="Times New Roman" w:hAnsi="Arial" w:cs="Arial"/>
          <w:sz w:val="22"/>
          <w:szCs w:val="22"/>
        </w:rPr>
        <w:t xml:space="preserve"> reported to Victoria Police </w:t>
      </w:r>
      <w:r w:rsidRPr="003264FF">
        <w:rPr>
          <w:rFonts w:ascii="Arial" w:eastAsia="Times New Roman" w:hAnsi="Arial" w:cs="Arial"/>
          <w:i/>
          <w:sz w:val="22"/>
          <w:szCs w:val="22"/>
        </w:rPr>
        <w:t>every week</w:t>
      </w:r>
      <w:r w:rsidRPr="003264FF">
        <w:rPr>
          <w:rFonts w:ascii="Arial" w:eastAsia="Times New Roman" w:hAnsi="Arial" w:cs="Arial"/>
          <w:sz w:val="22"/>
          <w:szCs w:val="22"/>
        </w:rPr>
        <w:t xml:space="preserve">. </w:t>
      </w:r>
    </w:p>
    <w:p w:rsidR="003264FF" w:rsidRPr="003264FF" w:rsidRDefault="003264FF" w:rsidP="003264FF">
      <w:pPr>
        <w:autoSpaceDE w:val="0"/>
        <w:autoSpaceDN w:val="0"/>
        <w:adjustRightInd w:val="0"/>
        <w:spacing w:line="280" w:lineRule="exact"/>
        <w:jc w:val="both"/>
        <w:rPr>
          <w:rFonts w:ascii="Arial" w:eastAsia="Times New Roman" w:hAnsi="Arial" w:cs="Arial"/>
          <w:sz w:val="22"/>
          <w:szCs w:val="22"/>
        </w:rPr>
      </w:pPr>
    </w:p>
    <w:p w:rsidR="003264FF" w:rsidRPr="003264FF" w:rsidRDefault="003264FF" w:rsidP="003264FF">
      <w:pPr>
        <w:numPr>
          <w:ilvl w:val="0"/>
          <w:numId w:val="17"/>
        </w:numPr>
        <w:autoSpaceDE w:val="0"/>
        <w:autoSpaceDN w:val="0"/>
        <w:adjustRightInd w:val="0"/>
        <w:spacing w:line="280" w:lineRule="exact"/>
        <w:jc w:val="both"/>
        <w:rPr>
          <w:rFonts w:ascii="Arial" w:eastAsia="Times New Roman" w:hAnsi="Arial" w:cs="Arial"/>
          <w:sz w:val="22"/>
          <w:szCs w:val="22"/>
        </w:rPr>
      </w:pPr>
      <w:r w:rsidRPr="003264FF">
        <w:rPr>
          <w:rFonts w:ascii="Arial" w:eastAsia="Times New Roman" w:hAnsi="Arial" w:cs="Arial"/>
          <w:sz w:val="22"/>
          <w:szCs w:val="22"/>
        </w:rPr>
        <w:t>More than half of all assaults (56%) arose from family violence.</w:t>
      </w:r>
    </w:p>
    <w:p w:rsidR="003264FF" w:rsidRPr="003264FF" w:rsidRDefault="003264FF" w:rsidP="003264FF">
      <w:pPr>
        <w:autoSpaceDE w:val="0"/>
        <w:autoSpaceDN w:val="0"/>
        <w:adjustRightInd w:val="0"/>
        <w:spacing w:line="280" w:lineRule="exact"/>
        <w:jc w:val="both"/>
        <w:rPr>
          <w:rFonts w:ascii="Arial" w:eastAsia="Times New Roman" w:hAnsi="Arial" w:cs="Arial"/>
          <w:sz w:val="22"/>
          <w:szCs w:val="22"/>
        </w:rPr>
      </w:pPr>
    </w:p>
    <w:p w:rsidR="003264FF" w:rsidRPr="003264FF" w:rsidRDefault="003264FF" w:rsidP="003264FF">
      <w:pPr>
        <w:numPr>
          <w:ilvl w:val="0"/>
          <w:numId w:val="17"/>
        </w:numPr>
        <w:autoSpaceDE w:val="0"/>
        <w:autoSpaceDN w:val="0"/>
        <w:adjustRightInd w:val="0"/>
        <w:spacing w:line="280" w:lineRule="exact"/>
        <w:jc w:val="both"/>
        <w:rPr>
          <w:rFonts w:ascii="Arial" w:eastAsia="Times New Roman" w:hAnsi="Arial" w:cs="Arial"/>
          <w:sz w:val="22"/>
          <w:szCs w:val="22"/>
        </w:rPr>
      </w:pPr>
      <w:r w:rsidRPr="003264FF">
        <w:rPr>
          <w:rFonts w:ascii="Arial" w:eastAsia="Times New Roman" w:hAnsi="Arial" w:cs="Arial"/>
          <w:sz w:val="22"/>
          <w:szCs w:val="22"/>
        </w:rPr>
        <w:t>Family violence was the context for 46% of all rapes and 15% of all other sex offences (95% of the victims were female; 100% of the alleged offenders were male).</w:t>
      </w:r>
      <w:r w:rsidRPr="003264FF">
        <w:rPr>
          <w:rFonts w:ascii="Arial" w:eastAsia="Times New Roman" w:hAnsi="Arial" w:cs="Arial"/>
          <w:sz w:val="22"/>
          <w:szCs w:val="22"/>
          <w:vertAlign w:val="superscript"/>
        </w:rPr>
        <w:endnoteReference w:id="2"/>
      </w:r>
    </w:p>
    <w:p w:rsidR="003264FF" w:rsidRPr="003264FF" w:rsidRDefault="003264FF" w:rsidP="003264FF">
      <w:pPr>
        <w:autoSpaceDE w:val="0"/>
        <w:autoSpaceDN w:val="0"/>
        <w:adjustRightInd w:val="0"/>
        <w:spacing w:line="280" w:lineRule="exact"/>
        <w:jc w:val="both"/>
        <w:rPr>
          <w:rFonts w:ascii="Arial" w:eastAsia="Times New Roman" w:hAnsi="Arial" w:cs="Arial"/>
          <w:sz w:val="22"/>
          <w:szCs w:val="22"/>
        </w:rPr>
      </w:pPr>
    </w:p>
    <w:p w:rsidR="003264FF" w:rsidRPr="003264FF" w:rsidRDefault="003264FF" w:rsidP="003264FF">
      <w:pPr>
        <w:numPr>
          <w:ilvl w:val="0"/>
          <w:numId w:val="17"/>
        </w:numPr>
        <w:autoSpaceDE w:val="0"/>
        <w:autoSpaceDN w:val="0"/>
        <w:adjustRightInd w:val="0"/>
        <w:spacing w:line="280" w:lineRule="exact"/>
        <w:jc w:val="both"/>
        <w:rPr>
          <w:rFonts w:ascii="Arial" w:eastAsia="Times New Roman" w:hAnsi="Arial" w:cs="Arial"/>
          <w:sz w:val="22"/>
          <w:szCs w:val="22"/>
        </w:rPr>
      </w:pPr>
      <w:r w:rsidRPr="003264FF">
        <w:rPr>
          <w:rFonts w:ascii="Arial" w:eastAsia="Times New Roman" w:hAnsi="Arial" w:cs="Arial"/>
          <w:sz w:val="22"/>
          <w:szCs w:val="22"/>
        </w:rPr>
        <w:t xml:space="preserve">Significantly more referrals (3618) to the regional family violence service from Victoria Police for women from the Whittlesea municipality than from </w:t>
      </w:r>
      <w:r w:rsidRPr="003264FF">
        <w:rPr>
          <w:rFonts w:ascii="Arial" w:eastAsia="Times New Roman" w:hAnsi="Arial" w:cs="Arial"/>
          <w:i/>
          <w:sz w:val="22"/>
          <w:szCs w:val="22"/>
        </w:rPr>
        <w:t>any other municipality</w:t>
      </w:r>
      <w:r w:rsidRPr="003264FF">
        <w:rPr>
          <w:rFonts w:ascii="Arial" w:eastAsia="Times New Roman" w:hAnsi="Arial" w:cs="Arial"/>
          <w:sz w:val="22"/>
          <w:szCs w:val="22"/>
        </w:rPr>
        <w:t xml:space="preserve"> in the Northern Metropolitan Region (NMR).</w:t>
      </w:r>
      <w:r w:rsidRPr="003264FF">
        <w:rPr>
          <w:rFonts w:ascii="Arial" w:eastAsia="Times New Roman" w:hAnsi="Arial" w:cs="Arial"/>
          <w:sz w:val="22"/>
          <w:szCs w:val="22"/>
          <w:vertAlign w:val="superscript"/>
        </w:rPr>
        <w:endnoteReference w:id="3"/>
      </w:r>
    </w:p>
    <w:p w:rsidR="003264FF" w:rsidRPr="003264FF" w:rsidRDefault="003264FF" w:rsidP="003264FF">
      <w:pPr>
        <w:autoSpaceDE w:val="0"/>
        <w:autoSpaceDN w:val="0"/>
        <w:adjustRightInd w:val="0"/>
        <w:spacing w:line="280" w:lineRule="exact"/>
        <w:jc w:val="both"/>
        <w:rPr>
          <w:rFonts w:ascii="Arial" w:eastAsia="Times New Roman" w:hAnsi="Arial" w:cs="Arial"/>
          <w:sz w:val="22"/>
          <w:szCs w:val="22"/>
        </w:rPr>
      </w:pPr>
    </w:p>
    <w:p w:rsidR="003264FF" w:rsidRPr="003264FF" w:rsidRDefault="003264FF" w:rsidP="003264FF">
      <w:pPr>
        <w:numPr>
          <w:ilvl w:val="0"/>
          <w:numId w:val="17"/>
        </w:numPr>
        <w:autoSpaceDE w:val="0"/>
        <w:autoSpaceDN w:val="0"/>
        <w:adjustRightInd w:val="0"/>
        <w:spacing w:line="280" w:lineRule="exact"/>
        <w:jc w:val="both"/>
        <w:rPr>
          <w:rFonts w:ascii="Arial" w:eastAsia="Times New Roman" w:hAnsi="Arial" w:cs="Arial"/>
          <w:sz w:val="22"/>
          <w:szCs w:val="22"/>
        </w:rPr>
      </w:pPr>
      <w:r w:rsidRPr="003264FF">
        <w:rPr>
          <w:rFonts w:ascii="Arial" w:eastAsia="Times New Roman" w:hAnsi="Arial" w:cs="Arial"/>
          <w:sz w:val="22"/>
          <w:szCs w:val="22"/>
        </w:rPr>
        <w:t>In September 2013, Victoria Police attended 170 call outs to family violence incidents in the Whittlesea LGA. Of these, 84% were to recidivist addresses,</w:t>
      </w:r>
      <w:r w:rsidRPr="003264FF">
        <w:rPr>
          <w:rFonts w:ascii="Arial" w:eastAsia="Times New Roman" w:hAnsi="Arial" w:cs="Arial"/>
          <w:sz w:val="22"/>
          <w:szCs w:val="22"/>
          <w:vertAlign w:val="superscript"/>
        </w:rPr>
        <w:endnoteReference w:id="4"/>
      </w:r>
      <w:r w:rsidRPr="003264FF">
        <w:rPr>
          <w:rFonts w:ascii="Arial" w:eastAsia="Times New Roman" w:hAnsi="Arial" w:cs="Arial"/>
          <w:sz w:val="22"/>
          <w:szCs w:val="22"/>
        </w:rPr>
        <w:t xml:space="preserve"> the highest number for the Northern Division 5.</w:t>
      </w:r>
    </w:p>
    <w:p w:rsidR="003264FF" w:rsidRPr="003264FF" w:rsidRDefault="003264FF" w:rsidP="003264FF">
      <w:pPr>
        <w:spacing w:line="280" w:lineRule="exact"/>
        <w:rPr>
          <w:rFonts w:ascii="Arial" w:eastAsia="Calibri" w:hAnsi="Arial" w:cs="Arial"/>
          <w:i/>
          <w:sz w:val="22"/>
          <w:szCs w:val="22"/>
          <w:lang w:val="en-GB"/>
        </w:rPr>
      </w:pPr>
    </w:p>
    <w:p w:rsidR="003D7C6B" w:rsidRDefault="003D7C6B"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r w:rsidRPr="003264FF">
        <w:rPr>
          <w:rFonts w:ascii="Arial" w:eastAsia="Times New Roman" w:hAnsi="Arial" w:cs="Arial"/>
          <w:b/>
          <w:color w:val="0070C0"/>
          <w:sz w:val="22"/>
          <w:szCs w:val="22"/>
          <w:lang w:val="en-GB" w:eastAsia="en-AU"/>
        </w:rPr>
        <w:t>Demand for men’s behaviour change programs</w:t>
      </w:r>
    </w:p>
    <w:p w:rsidR="003264FF" w:rsidRPr="003264FF" w:rsidRDefault="003264FF"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Calibri" w:hAnsi="Arial" w:cs="Arial"/>
          <w:sz w:val="22"/>
          <w:szCs w:val="22"/>
          <w:lang w:val="en-GB"/>
        </w:rPr>
      </w:pPr>
      <w:r w:rsidRPr="003264FF">
        <w:rPr>
          <w:rFonts w:ascii="Arial" w:eastAsia="Calibri" w:hAnsi="Arial" w:cs="Arial"/>
          <w:sz w:val="22"/>
          <w:szCs w:val="22"/>
          <w:lang w:val="en-GB"/>
        </w:rPr>
        <w:t xml:space="preserve">Local evidence reveals existing service responses in the municipality are not meeting the complex needs of </w:t>
      </w:r>
      <w:proofErr w:type="gramStart"/>
      <w:r w:rsidRPr="003264FF">
        <w:rPr>
          <w:rFonts w:ascii="Arial" w:eastAsia="Calibri" w:hAnsi="Arial" w:cs="Arial"/>
          <w:sz w:val="22"/>
          <w:szCs w:val="22"/>
          <w:lang w:val="en-GB"/>
        </w:rPr>
        <w:t>Culturally</w:t>
      </w:r>
      <w:proofErr w:type="gramEnd"/>
      <w:r w:rsidRPr="003264FF">
        <w:rPr>
          <w:rFonts w:ascii="Arial" w:eastAsia="Calibri" w:hAnsi="Arial" w:cs="Arial"/>
          <w:sz w:val="22"/>
          <w:szCs w:val="22"/>
          <w:lang w:val="en-GB"/>
        </w:rPr>
        <w:t xml:space="preserve"> and Linguistically Diverse communities experiencing family violence. Thirty-four per cent of residents in the municipality are born overseas and over forty per cent speak a language other than English at home.  </w:t>
      </w:r>
    </w:p>
    <w:p w:rsidR="003264FF" w:rsidRPr="003264FF" w:rsidRDefault="003264FF"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Calibri" w:hAnsi="Arial" w:cs="Arial"/>
          <w:sz w:val="22"/>
          <w:szCs w:val="22"/>
          <w:lang w:val="en-GB"/>
        </w:rPr>
      </w:pPr>
      <w:r w:rsidRPr="003264FF">
        <w:rPr>
          <w:rFonts w:ascii="Arial" w:eastAsia="Calibri" w:hAnsi="Arial" w:cs="Arial"/>
          <w:sz w:val="22"/>
          <w:szCs w:val="22"/>
          <w:lang w:val="en-GB"/>
        </w:rPr>
        <w:t xml:space="preserve">The local settlement service Whittlesea Community Connections, reports that </w:t>
      </w:r>
      <w:r w:rsidRPr="003264FF">
        <w:rPr>
          <w:rFonts w:ascii="Arial" w:eastAsia="Calibri" w:hAnsi="Arial" w:cs="Arial"/>
          <w:sz w:val="22"/>
          <w:szCs w:val="22"/>
          <w:lang w:val="en-AU"/>
        </w:rPr>
        <w:t xml:space="preserve">in 2013 there were 277 family violence cases reported to staff, an average of 23 per month. </w:t>
      </w:r>
      <w:r w:rsidRPr="003264FF">
        <w:rPr>
          <w:rFonts w:ascii="Arial" w:eastAsia="Calibri" w:hAnsi="Arial" w:cs="Arial"/>
          <w:sz w:val="22"/>
          <w:szCs w:val="22"/>
          <w:lang w:val="en-GB"/>
        </w:rPr>
        <w:t xml:space="preserve"> For most of these clients this was </w:t>
      </w:r>
      <w:r w:rsidRPr="003264FF">
        <w:rPr>
          <w:rFonts w:ascii="Arial" w:eastAsia="Calibri" w:hAnsi="Arial" w:cs="Arial"/>
          <w:sz w:val="22"/>
          <w:szCs w:val="22"/>
          <w:u w:val="single"/>
          <w:lang w:val="en-GB"/>
        </w:rPr>
        <w:t>the first time they had ever reported the violence</w:t>
      </w:r>
      <w:r w:rsidRPr="003264FF">
        <w:rPr>
          <w:rFonts w:ascii="Arial" w:eastAsia="Calibri" w:hAnsi="Arial" w:cs="Arial"/>
          <w:sz w:val="22"/>
          <w:szCs w:val="22"/>
          <w:vertAlign w:val="superscript"/>
          <w:lang w:val="en-GB"/>
        </w:rPr>
        <w:endnoteReference w:id="5"/>
      </w:r>
      <w:r w:rsidRPr="003264FF">
        <w:rPr>
          <w:rFonts w:ascii="Arial" w:eastAsia="Calibri" w:hAnsi="Arial" w:cs="Arial"/>
          <w:sz w:val="22"/>
          <w:szCs w:val="22"/>
          <w:lang w:val="en-GB"/>
        </w:rPr>
        <w:t>.</w:t>
      </w:r>
    </w:p>
    <w:p w:rsidR="003264FF" w:rsidRPr="003264FF" w:rsidRDefault="003264FF"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Calibri" w:hAnsi="Arial" w:cs="Arial"/>
          <w:sz w:val="22"/>
          <w:szCs w:val="22"/>
        </w:rPr>
      </w:pPr>
      <w:r w:rsidRPr="003264FF">
        <w:rPr>
          <w:rFonts w:ascii="Arial" w:eastAsia="Calibri" w:hAnsi="Arial" w:cs="Arial"/>
          <w:sz w:val="22"/>
          <w:szCs w:val="22"/>
          <w:lang w:val="en-GB"/>
        </w:rPr>
        <w:t xml:space="preserve">The Whittlesea municipality has the highest rate of recidivist offending for the Victoria Police Northern Division </w:t>
      </w:r>
      <w:r w:rsidRPr="003264FF">
        <w:rPr>
          <w:rFonts w:ascii="Arial" w:eastAsia="Calibri" w:hAnsi="Arial" w:cs="Arial"/>
          <w:sz w:val="22"/>
          <w:szCs w:val="22"/>
        </w:rPr>
        <w:t>5 (see above).</w:t>
      </w:r>
    </w:p>
    <w:p w:rsidR="003264FF" w:rsidRDefault="003264FF"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4B0A9C" w:rsidRDefault="004B0A9C"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Calibri" w:hAnsi="Arial" w:cs="Arial"/>
          <w:sz w:val="22"/>
          <w:szCs w:val="22"/>
          <w:lang w:val="en-GB"/>
        </w:rPr>
      </w:pPr>
      <w:r w:rsidRPr="003264FF">
        <w:rPr>
          <w:rFonts w:ascii="Arial" w:eastAsia="Calibri" w:hAnsi="Arial" w:cs="Arial"/>
          <w:sz w:val="22"/>
          <w:szCs w:val="22"/>
          <w:lang w:val="en-GB"/>
        </w:rPr>
        <w:t>Despite the increasing demand there has not been a proportionate increase to the workforce, program funding or additional resources in the family violence sector</w:t>
      </w:r>
      <w:r w:rsidRPr="003264FF">
        <w:rPr>
          <w:rFonts w:ascii="Arial" w:eastAsia="Calibri" w:hAnsi="Arial" w:cs="Arial"/>
          <w:sz w:val="22"/>
          <w:szCs w:val="22"/>
          <w:vertAlign w:val="superscript"/>
          <w:lang w:val="en-GB"/>
        </w:rPr>
        <w:endnoteReference w:id="6"/>
      </w:r>
      <w:r w:rsidRPr="003264FF">
        <w:rPr>
          <w:rFonts w:ascii="Arial" w:eastAsia="Calibri" w:hAnsi="Arial" w:cs="Arial"/>
          <w:sz w:val="22"/>
          <w:szCs w:val="22"/>
          <w:lang w:val="en-GB"/>
        </w:rPr>
        <w:t>.  Already stretched services supporting women and children and holding men accountable for their violence are under severe pressure.  Recently a local agency closed its waiting list for the Men’s Behaviour Change (MBC) Program for approximately six months to deal with the backlog of clients</w:t>
      </w:r>
      <w:r w:rsidRPr="003264FF">
        <w:rPr>
          <w:rFonts w:ascii="Arial" w:eastAsia="Calibri" w:hAnsi="Arial" w:cs="Arial"/>
          <w:sz w:val="22"/>
          <w:szCs w:val="22"/>
          <w:vertAlign w:val="superscript"/>
          <w:lang w:val="en-GB"/>
        </w:rPr>
        <w:endnoteReference w:id="7"/>
      </w:r>
      <w:r w:rsidRPr="003264FF">
        <w:rPr>
          <w:rFonts w:ascii="Arial" w:eastAsia="Calibri" w:hAnsi="Arial" w:cs="Arial"/>
          <w:sz w:val="22"/>
          <w:szCs w:val="22"/>
          <w:lang w:val="en-GB"/>
        </w:rPr>
        <w:t>.  Closing this program potentially discouraged men who may otherwise have engaged with this service. Further, closing it meant partner contact was also not provided, leaving women and children at risk and vulnerable to escalating violence.</w:t>
      </w:r>
    </w:p>
    <w:p w:rsidR="003264FF" w:rsidRPr="003264FF" w:rsidRDefault="003264FF"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Calibri" w:hAnsi="Arial" w:cs="Arial"/>
          <w:sz w:val="22"/>
          <w:szCs w:val="22"/>
          <w:lang w:val="en-GB"/>
        </w:rPr>
      </w:pPr>
      <w:r w:rsidRPr="003264FF">
        <w:rPr>
          <w:rFonts w:ascii="Arial" w:eastAsia="Calibri" w:hAnsi="Arial" w:cs="Arial"/>
          <w:sz w:val="22"/>
          <w:szCs w:val="22"/>
          <w:lang w:val="en-GB"/>
        </w:rPr>
        <w:t>Whittlesea Community Futures welcomes the recent announcement</w:t>
      </w:r>
      <w:r w:rsidRPr="003264FF">
        <w:rPr>
          <w:rFonts w:ascii="Arial" w:eastAsia="Calibri" w:hAnsi="Arial" w:cs="Arial"/>
          <w:sz w:val="22"/>
          <w:szCs w:val="22"/>
          <w:vertAlign w:val="superscript"/>
          <w:lang w:val="en-GB"/>
        </w:rPr>
        <w:endnoteReference w:id="8"/>
      </w:r>
      <w:r w:rsidRPr="003264FF">
        <w:rPr>
          <w:rFonts w:ascii="Arial" w:eastAsia="Calibri" w:hAnsi="Arial" w:cs="Arial"/>
          <w:sz w:val="22"/>
          <w:szCs w:val="22"/>
          <w:lang w:val="en-GB"/>
        </w:rPr>
        <w:t xml:space="preserve"> of an increase in funding for MBC programs.  However, this is not sufficient to meet the current demand for programs in the Whittlesea community.</w:t>
      </w:r>
    </w:p>
    <w:p w:rsidR="003D7C6B" w:rsidRPr="003264FF" w:rsidRDefault="003D7C6B" w:rsidP="003264FF">
      <w:pPr>
        <w:spacing w:line="280" w:lineRule="exact"/>
        <w:jc w:val="both"/>
        <w:rPr>
          <w:rFonts w:ascii="Arial" w:eastAsia="Calibri" w:hAnsi="Arial" w:cs="Arial"/>
          <w:sz w:val="22"/>
          <w:szCs w:val="22"/>
          <w:lang w:val="en-GB"/>
        </w:rPr>
      </w:pPr>
    </w:p>
    <w:tbl>
      <w:tblPr>
        <w:tblStyle w:val="TableGrid2"/>
        <w:tblW w:w="0" w:type="auto"/>
        <w:tblInd w:w="720"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28"/>
      </w:tblGrid>
      <w:tr w:rsidR="003264FF" w:rsidRPr="003264FF" w:rsidTr="009344F9">
        <w:tc>
          <w:tcPr>
            <w:tcW w:w="9242" w:type="dxa"/>
            <w:shd w:val="clear" w:color="auto" w:fill="DBE5F1" w:themeFill="accent1" w:themeFillTint="33"/>
          </w:tcPr>
          <w:p w:rsidR="003264FF" w:rsidRPr="003264FF" w:rsidRDefault="003264FF" w:rsidP="003264FF">
            <w:pPr>
              <w:numPr>
                <w:ilvl w:val="0"/>
                <w:numId w:val="16"/>
              </w:numPr>
              <w:spacing w:line="280" w:lineRule="exact"/>
              <w:rPr>
                <w:rFonts w:ascii="Arial" w:eastAsia="Calibri" w:hAnsi="Arial" w:cs="Arial"/>
                <w:lang w:val="en-GB"/>
              </w:rPr>
            </w:pPr>
            <w:r w:rsidRPr="003264FF">
              <w:rPr>
                <w:rFonts w:ascii="Arial" w:eastAsia="Calibri" w:hAnsi="Arial" w:cs="Arial"/>
                <w:lang w:val="en-GB"/>
              </w:rPr>
              <w:t>The Department of Human Services funds less than 2,000</w:t>
            </w:r>
            <w:r w:rsidRPr="003264FF">
              <w:rPr>
                <w:rFonts w:ascii="Arial" w:eastAsia="Calibri" w:hAnsi="Arial" w:cs="Arial"/>
                <w:vertAlign w:val="superscript"/>
                <w:lang w:val="en-GB"/>
              </w:rPr>
              <w:endnoteReference w:id="9"/>
            </w:r>
            <w:r w:rsidRPr="003264FF">
              <w:rPr>
                <w:rFonts w:ascii="Arial" w:eastAsia="Calibri" w:hAnsi="Arial" w:cs="Arial"/>
                <w:lang w:val="en-GB"/>
              </w:rPr>
              <w:t xml:space="preserve"> places annually in Victoria’s Men’s Behaviour Change Programs;</w:t>
            </w:r>
          </w:p>
        </w:tc>
      </w:tr>
      <w:tr w:rsidR="003264FF" w:rsidRPr="003264FF" w:rsidTr="009344F9">
        <w:tc>
          <w:tcPr>
            <w:tcW w:w="9242" w:type="dxa"/>
            <w:shd w:val="clear" w:color="auto" w:fill="DBE5F1" w:themeFill="accent1" w:themeFillTint="33"/>
          </w:tcPr>
          <w:p w:rsidR="003264FF" w:rsidRPr="003264FF" w:rsidRDefault="003264FF" w:rsidP="003264FF">
            <w:pPr>
              <w:numPr>
                <w:ilvl w:val="0"/>
                <w:numId w:val="16"/>
              </w:numPr>
              <w:spacing w:line="280" w:lineRule="exact"/>
              <w:rPr>
                <w:rFonts w:ascii="Arial" w:eastAsia="Calibri" w:hAnsi="Arial" w:cs="Arial"/>
                <w:lang w:val="en-GB"/>
              </w:rPr>
            </w:pPr>
            <w:r w:rsidRPr="003264FF">
              <w:rPr>
                <w:rFonts w:ascii="Arial" w:eastAsia="Calibri" w:hAnsi="Arial" w:cs="Arial"/>
                <w:lang w:val="en-GB"/>
              </w:rPr>
              <w:t>Department of Justice funds 250 places;</w:t>
            </w:r>
          </w:p>
        </w:tc>
      </w:tr>
      <w:tr w:rsidR="003264FF" w:rsidRPr="003264FF" w:rsidTr="009344F9">
        <w:tc>
          <w:tcPr>
            <w:tcW w:w="9242" w:type="dxa"/>
            <w:shd w:val="clear" w:color="auto" w:fill="DBE5F1" w:themeFill="accent1" w:themeFillTint="33"/>
          </w:tcPr>
          <w:p w:rsidR="003264FF" w:rsidRPr="003264FF" w:rsidRDefault="003264FF" w:rsidP="003264FF">
            <w:pPr>
              <w:numPr>
                <w:ilvl w:val="0"/>
                <w:numId w:val="16"/>
              </w:numPr>
              <w:spacing w:line="280" w:lineRule="exact"/>
              <w:rPr>
                <w:rFonts w:ascii="Arial" w:eastAsia="Calibri" w:hAnsi="Arial" w:cs="Arial"/>
                <w:lang w:val="en-GB"/>
              </w:rPr>
            </w:pPr>
            <w:r w:rsidRPr="003264FF">
              <w:rPr>
                <w:rFonts w:ascii="Arial" w:eastAsia="Calibri" w:hAnsi="Arial" w:cs="Arial"/>
                <w:lang w:val="en-GB"/>
              </w:rPr>
              <w:t>Corrections Victoria funds approximately 100 places;</w:t>
            </w:r>
            <w:r w:rsidRPr="003264FF">
              <w:rPr>
                <w:rFonts w:ascii="Arial" w:eastAsia="Calibri" w:hAnsi="Arial" w:cs="Arial"/>
                <w:vertAlign w:val="superscript"/>
                <w:lang w:val="en-GB"/>
              </w:rPr>
              <w:endnoteReference w:id="10"/>
            </w:r>
          </w:p>
        </w:tc>
      </w:tr>
      <w:tr w:rsidR="003264FF" w:rsidRPr="003264FF" w:rsidTr="009344F9">
        <w:tc>
          <w:tcPr>
            <w:tcW w:w="9242" w:type="dxa"/>
            <w:shd w:val="clear" w:color="auto" w:fill="DBE5F1" w:themeFill="accent1" w:themeFillTint="33"/>
          </w:tcPr>
          <w:p w:rsidR="003264FF" w:rsidRPr="003264FF" w:rsidRDefault="003264FF" w:rsidP="003264FF">
            <w:pPr>
              <w:numPr>
                <w:ilvl w:val="0"/>
                <w:numId w:val="16"/>
              </w:numPr>
              <w:spacing w:line="280" w:lineRule="exact"/>
              <w:rPr>
                <w:rFonts w:ascii="Arial" w:eastAsia="Calibri" w:hAnsi="Arial" w:cs="Arial"/>
                <w:lang w:val="en-GB"/>
              </w:rPr>
            </w:pPr>
            <w:r w:rsidRPr="003264FF">
              <w:rPr>
                <w:rFonts w:ascii="Arial" w:eastAsia="Calibri" w:hAnsi="Arial" w:cs="Arial"/>
                <w:lang w:val="en-GB"/>
              </w:rPr>
              <w:t xml:space="preserve">The Northern Metropolitan Region of Melbourne receives Department of Human Services funding for </w:t>
            </w:r>
            <w:r w:rsidRPr="003264FF">
              <w:rPr>
                <w:rFonts w:ascii="Arial" w:eastAsia="Calibri" w:hAnsi="Arial" w:cs="Arial"/>
                <w:b/>
                <w:lang w:val="en-GB"/>
              </w:rPr>
              <w:t>127 places</w:t>
            </w:r>
            <w:r w:rsidRPr="003264FF">
              <w:rPr>
                <w:rFonts w:ascii="Arial" w:eastAsia="Calibri" w:hAnsi="Arial" w:cs="Arial"/>
                <w:lang w:val="en-GB"/>
              </w:rPr>
              <w:t xml:space="preserve"> in Men’s Behaviour Change Programs;</w:t>
            </w:r>
            <w:r w:rsidRPr="003264FF">
              <w:rPr>
                <w:rFonts w:ascii="Arial" w:eastAsia="Calibri" w:hAnsi="Arial" w:cs="Arial"/>
                <w:vertAlign w:val="superscript"/>
                <w:lang w:val="en-GB"/>
              </w:rPr>
              <w:endnoteReference w:id="11"/>
            </w:r>
            <w:r w:rsidRPr="003264FF">
              <w:rPr>
                <w:rFonts w:ascii="Arial" w:eastAsia="Calibri" w:hAnsi="Arial" w:cs="Arial"/>
                <w:vertAlign w:val="superscript"/>
                <w:lang w:val="en-GB"/>
              </w:rPr>
              <w:endnoteReference w:id="12"/>
            </w:r>
            <w:r w:rsidRPr="003264FF">
              <w:rPr>
                <w:rFonts w:ascii="Arial" w:eastAsia="Calibri" w:hAnsi="Arial" w:cs="Arial"/>
                <w:lang w:val="en-GB"/>
              </w:rPr>
              <w:t xml:space="preserve">  </w:t>
            </w:r>
          </w:p>
        </w:tc>
      </w:tr>
      <w:tr w:rsidR="003264FF" w:rsidRPr="003264FF" w:rsidTr="009344F9">
        <w:tc>
          <w:tcPr>
            <w:tcW w:w="9242" w:type="dxa"/>
            <w:shd w:val="clear" w:color="auto" w:fill="DBE5F1" w:themeFill="accent1" w:themeFillTint="33"/>
          </w:tcPr>
          <w:p w:rsidR="003264FF" w:rsidRPr="003264FF" w:rsidRDefault="003264FF" w:rsidP="003264FF">
            <w:pPr>
              <w:numPr>
                <w:ilvl w:val="0"/>
                <w:numId w:val="16"/>
              </w:numPr>
              <w:spacing w:line="280" w:lineRule="exact"/>
              <w:rPr>
                <w:rFonts w:ascii="Arial" w:eastAsia="Calibri" w:hAnsi="Arial" w:cs="Arial"/>
                <w:lang w:val="en-GB"/>
              </w:rPr>
            </w:pPr>
            <w:r w:rsidRPr="003264FF">
              <w:rPr>
                <w:rFonts w:ascii="Arial" w:eastAsia="Calibri" w:hAnsi="Arial" w:cs="Arial"/>
                <w:lang w:val="en-GB"/>
              </w:rPr>
              <w:t xml:space="preserve">In 2012-13 in this region there were </w:t>
            </w:r>
            <w:r w:rsidRPr="003264FF">
              <w:rPr>
                <w:rFonts w:ascii="Arial" w:eastAsia="Calibri" w:hAnsi="Arial" w:cs="Arial"/>
                <w:b/>
                <w:lang w:val="en-GB"/>
              </w:rPr>
              <w:t>9861 incidents</w:t>
            </w:r>
            <w:r w:rsidRPr="003264FF">
              <w:rPr>
                <w:rFonts w:ascii="Arial" w:eastAsia="Calibri" w:hAnsi="Arial" w:cs="Arial"/>
                <w:lang w:val="en-GB"/>
              </w:rPr>
              <w:t xml:space="preserve"> of family violence reported to police; in the Whittlesea LGA alone there were </w:t>
            </w:r>
            <w:r w:rsidRPr="003264FF">
              <w:rPr>
                <w:rFonts w:ascii="Arial" w:eastAsia="Calibri" w:hAnsi="Arial" w:cs="Arial"/>
                <w:b/>
                <w:lang w:val="en-GB"/>
              </w:rPr>
              <w:t>2110 incidents</w:t>
            </w:r>
            <w:r w:rsidRPr="003264FF">
              <w:rPr>
                <w:rFonts w:ascii="Arial" w:eastAsia="Calibri" w:hAnsi="Arial" w:cs="Arial"/>
                <w:lang w:val="en-GB"/>
              </w:rPr>
              <w:t xml:space="preserve">;  </w:t>
            </w:r>
          </w:p>
        </w:tc>
      </w:tr>
      <w:tr w:rsidR="003264FF" w:rsidRPr="003264FF" w:rsidTr="009344F9">
        <w:tc>
          <w:tcPr>
            <w:tcW w:w="9242" w:type="dxa"/>
            <w:shd w:val="clear" w:color="auto" w:fill="DBE5F1" w:themeFill="accent1" w:themeFillTint="33"/>
          </w:tcPr>
          <w:p w:rsidR="003264FF" w:rsidRPr="003264FF" w:rsidRDefault="003264FF" w:rsidP="003264FF">
            <w:pPr>
              <w:numPr>
                <w:ilvl w:val="0"/>
                <w:numId w:val="16"/>
              </w:numPr>
              <w:spacing w:line="280" w:lineRule="exact"/>
              <w:rPr>
                <w:rFonts w:ascii="Arial" w:eastAsia="Calibri" w:hAnsi="Arial" w:cs="Arial"/>
                <w:lang w:val="en-GB"/>
              </w:rPr>
            </w:pPr>
            <w:r w:rsidRPr="003264FF">
              <w:rPr>
                <w:rFonts w:ascii="Arial" w:eastAsia="Calibri" w:hAnsi="Arial" w:cs="Arial"/>
                <w:lang w:val="en-GB"/>
              </w:rPr>
              <w:t xml:space="preserve">The demand for Men’s Behaviour Change Programs far exceeds the current resources provided to deliver the programs. </w:t>
            </w:r>
          </w:p>
        </w:tc>
      </w:tr>
    </w:tbl>
    <w:p w:rsidR="003264FF" w:rsidRDefault="003264FF"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Calibri" w:hAnsi="Arial" w:cs="Arial"/>
          <w:sz w:val="22"/>
          <w:szCs w:val="22"/>
          <w:lang w:val="en-GB"/>
        </w:rPr>
      </w:pPr>
      <w:r w:rsidRPr="003264FF">
        <w:rPr>
          <w:rFonts w:ascii="Arial" w:eastAsia="Calibri" w:hAnsi="Arial" w:cs="Arial"/>
          <w:sz w:val="22"/>
          <w:szCs w:val="22"/>
          <w:lang w:val="en-GB"/>
        </w:rPr>
        <w:t>Evidence gathered from CALD women and service providers in City of Whittlesea suggests that CALD communities are more likely to access external family violence services that will support maintaining or reconciling relationships, such as men’s behaviour change programs</w:t>
      </w:r>
      <w:r w:rsidRPr="003264FF">
        <w:rPr>
          <w:rFonts w:ascii="Arial" w:eastAsia="Calibri" w:hAnsi="Arial" w:cs="Arial"/>
          <w:sz w:val="22"/>
          <w:szCs w:val="22"/>
          <w:vertAlign w:val="superscript"/>
          <w:lang w:val="en-GB"/>
        </w:rPr>
        <w:endnoteReference w:id="13"/>
      </w:r>
      <w:r w:rsidRPr="003264FF">
        <w:rPr>
          <w:rFonts w:ascii="Arial" w:eastAsia="Calibri" w:hAnsi="Arial" w:cs="Arial"/>
          <w:sz w:val="22"/>
          <w:szCs w:val="22"/>
          <w:lang w:val="en-GB"/>
        </w:rPr>
        <w:t>.However there is limited access to behaviour change programs for CALD men due to cultural or language barriers in mainstream programs.</w:t>
      </w:r>
    </w:p>
    <w:p w:rsidR="003264FF" w:rsidRPr="003264FF" w:rsidRDefault="003264FF"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r w:rsidRPr="003264FF">
        <w:rPr>
          <w:rFonts w:ascii="Arial" w:eastAsia="Times New Roman" w:hAnsi="Arial" w:cs="Arial"/>
          <w:b/>
          <w:color w:val="0070C0"/>
          <w:sz w:val="22"/>
          <w:szCs w:val="22"/>
          <w:lang w:val="en-GB" w:eastAsia="en-AU"/>
        </w:rPr>
        <w:t>How can we build a better future?</w:t>
      </w:r>
    </w:p>
    <w:p w:rsidR="003264FF" w:rsidRPr="003264FF" w:rsidRDefault="003264FF" w:rsidP="003264FF">
      <w:pPr>
        <w:spacing w:line="280" w:lineRule="exact"/>
        <w:jc w:val="both"/>
        <w:rPr>
          <w:rFonts w:ascii="Arial" w:eastAsia="Calibri" w:hAnsi="Arial" w:cs="Arial"/>
          <w:sz w:val="22"/>
          <w:szCs w:val="22"/>
          <w:lang w:val="en-AU"/>
        </w:rPr>
      </w:pPr>
    </w:p>
    <w:p w:rsidR="003264FF" w:rsidRDefault="003264FF" w:rsidP="003264FF">
      <w:pPr>
        <w:spacing w:line="280" w:lineRule="exact"/>
        <w:jc w:val="both"/>
        <w:rPr>
          <w:rFonts w:ascii="Arial" w:eastAsia="Calibri" w:hAnsi="Arial" w:cs="Arial"/>
          <w:b/>
          <w:sz w:val="22"/>
          <w:szCs w:val="22"/>
          <w:lang w:val="en-AU"/>
        </w:rPr>
      </w:pPr>
      <w:r w:rsidRPr="003264FF">
        <w:rPr>
          <w:rFonts w:ascii="Arial" w:eastAsia="Calibri" w:hAnsi="Arial" w:cs="Arial"/>
          <w:b/>
          <w:sz w:val="22"/>
          <w:szCs w:val="22"/>
          <w:lang w:val="en-AU"/>
        </w:rPr>
        <w:t>Whittlesea Community Futures requests the State government to:</w:t>
      </w:r>
    </w:p>
    <w:p w:rsidR="003D7C6B" w:rsidRPr="003264FF" w:rsidRDefault="003D7C6B" w:rsidP="003264FF">
      <w:pPr>
        <w:spacing w:line="280" w:lineRule="exact"/>
        <w:jc w:val="both"/>
        <w:rPr>
          <w:rFonts w:ascii="Arial" w:eastAsia="Calibri" w:hAnsi="Arial" w:cs="Arial"/>
          <w:b/>
          <w:sz w:val="22"/>
          <w:szCs w:val="22"/>
          <w:lang w:val="en-AU"/>
        </w:rPr>
      </w:pPr>
    </w:p>
    <w:p w:rsidR="003264FF" w:rsidRPr="003264FF" w:rsidRDefault="003264FF" w:rsidP="003264FF">
      <w:pPr>
        <w:numPr>
          <w:ilvl w:val="0"/>
          <w:numId w:val="11"/>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GB"/>
        </w:rPr>
        <w:t>Increase access to men’s behaviour change programs through</w:t>
      </w:r>
      <w:r w:rsidRPr="003264FF">
        <w:rPr>
          <w:rFonts w:ascii="Arial" w:eastAsia="Calibri" w:hAnsi="Arial" w:cs="Arial"/>
          <w:sz w:val="22"/>
          <w:szCs w:val="22"/>
          <w:lang w:val="en-AU"/>
        </w:rPr>
        <w:t xml:space="preserve"> funding for culturally appropriate and language specific men’s behaviour change programs.  </w:t>
      </w:r>
    </w:p>
    <w:p w:rsidR="003264FF" w:rsidRPr="003264FF" w:rsidRDefault="003264FF" w:rsidP="003264FF">
      <w:pPr>
        <w:numPr>
          <w:ilvl w:val="0"/>
          <w:numId w:val="11"/>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Support to develop an innovative, place-based pilot to deliver men’s behaviour change programs.</w:t>
      </w:r>
    </w:p>
    <w:p w:rsidR="003264FF" w:rsidRDefault="003264FF" w:rsidP="003264FF">
      <w:pPr>
        <w:spacing w:line="280" w:lineRule="exact"/>
        <w:jc w:val="both"/>
        <w:rPr>
          <w:rFonts w:ascii="Arial" w:eastAsia="Calibri" w:hAnsi="Arial" w:cs="Arial"/>
          <w:sz w:val="22"/>
          <w:szCs w:val="22"/>
          <w:lang w:val="en-AU"/>
        </w:rPr>
      </w:pPr>
    </w:p>
    <w:p w:rsidR="003264FF" w:rsidRPr="003264FF" w:rsidRDefault="003264FF" w:rsidP="003264FF">
      <w:pPr>
        <w:spacing w:line="280" w:lineRule="exact"/>
        <w:jc w:val="both"/>
        <w:rPr>
          <w:rFonts w:ascii="Arial" w:eastAsia="Calibri" w:hAnsi="Arial" w:cs="Arial"/>
          <w:b/>
          <w:sz w:val="22"/>
          <w:szCs w:val="22"/>
          <w:lang w:val="en-GB"/>
        </w:rPr>
      </w:pPr>
      <w:r w:rsidRPr="003264FF">
        <w:rPr>
          <w:rFonts w:ascii="Arial" w:eastAsia="Calibri" w:hAnsi="Arial" w:cs="Arial"/>
          <w:sz w:val="22"/>
          <w:szCs w:val="22"/>
          <w:lang w:val="en-GB"/>
        </w:rPr>
        <w:t xml:space="preserve">The Whittlesea CALD Communities Family Violence Project (WCFVP) is, in partnership with </w:t>
      </w:r>
      <w:proofErr w:type="spellStart"/>
      <w:r w:rsidRPr="003264FF">
        <w:rPr>
          <w:rFonts w:ascii="Arial" w:eastAsia="Calibri" w:hAnsi="Arial" w:cs="Arial"/>
          <w:sz w:val="22"/>
          <w:szCs w:val="22"/>
        </w:rPr>
        <w:t>inTouch</w:t>
      </w:r>
      <w:proofErr w:type="spellEnd"/>
      <w:r w:rsidRPr="003264FF">
        <w:rPr>
          <w:rFonts w:ascii="Arial" w:eastAsia="Calibri" w:hAnsi="Arial" w:cs="Arial"/>
          <w:sz w:val="22"/>
          <w:szCs w:val="22"/>
        </w:rPr>
        <w:t xml:space="preserve"> </w:t>
      </w:r>
      <w:proofErr w:type="spellStart"/>
      <w:r w:rsidRPr="003264FF">
        <w:rPr>
          <w:rFonts w:ascii="Arial" w:eastAsia="Calibri" w:hAnsi="Arial" w:cs="Arial"/>
          <w:sz w:val="22"/>
          <w:szCs w:val="22"/>
        </w:rPr>
        <w:t>Inc</w:t>
      </w:r>
      <w:proofErr w:type="spellEnd"/>
      <w:r w:rsidRPr="003264FF">
        <w:rPr>
          <w:rFonts w:ascii="Arial" w:eastAsia="Calibri" w:hAnsi="Arial" w:cs="Arial"/>
          <w:sz w:val="22"/>
          <w:szCs w:val="22"/>
        </w:rPr>
        <w:t xml:space="preserve">, Multicultural Centre </w:t>
      </w:r>
      <w:proofErr w:type="gramStart"/>
      <w:r w:rsidRPr="003264FF">
        <w:rPr>
          <w:rFonts w:ascii="Arial" w:eastAsia="Calibri" w:hAnsi="Arial" w:cs="Arial"/>
          <w:sz w:val="22"/>
          <w:szCs w:val="22"/>
        </w:rPr>
        <w:t>Against</w:t>
      </w:r>
      <w:proofErr w:type="gramEnd"/>
      <w:r w:rsidRPr="003264FF">
        <w:rPr>
          <w:rFonts w:ascii="Arial" w:eastAsia="Calibri" w:hAnsi="Arial" w:cs="Arial"/>
          <w:sz w:val="22"/>
          <w:szCs w:val="22"/>
        </w:rPr>
        <w:t xml:space="preserve"> Family Violence</w:t>
      </w:r>
      <w:r w:rsidRPr="003264FF">
        <w:rPr>
          <w:rFonts w:ascii="Arial" w:eastAsia="Calibri" w:hAnsi="Arial" w:cs="Arial"/>
          <w:sz w:val="22"/>
          <w:szCs w:val="22"/>
          <w:lang w:val="en-GB"/>
        </w:rPr>
        <w:t xml:space="preserve">, supporting two Arabic-speaking workers to complete the accredited training at Swinburne University required to deliver Men’s Behaviour Change Programs to the No To Violence standards.  </w:t>
      </w:r>
      <w:r w:rsidRPr="003264FF">
        <w:rPr>
          <w:rFonts w:ascii="Arial" w:eastAsia="Calibri" w:hAnsi="Arial" w:cs="Arial"/>
          <w:b/>
          <w:sz w:val="22"/>
          <w:szCs w:val="22"/>
          <w:lang w:val="en-GB"/>
        </w:rPr>
        <w:t>This provides a unique opportunity for the State Government to deliver an Arabic-speaking program in the City of Whittlesea.</w:t>
      </w:r>
    </w:p>
    <w:p w:rsidR="003264FF" w:rsidRDefault="003264FF"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3D7C6B" w:rsidRDefault="003D7C6B" w:rsidP="003264FF">
      <w:pPr>
        <w:spacing w:line="280" w:lineRule="exact"/>
        <w:jc w:val="both"/>
        <w:rPr>
          <w:rFonts w:ascii="Arial" w:eastAsia="Calibri" w:hAnsi="Arial" w:cs="Arial"/>
          <w:sz w:val="22"/>
          <w:szCs w:val="22"/>
          <w:lang w:val="en-GB"/>
        </w:rPr>
      </w:pPr>
    </w:p>
    <w:p w:rsidR="004B0A9C" w:rsidRDefault="004B0A9C" w:rsidP="003264FF">
      <w:pPr>
        <w:spacing w:line="280" w:lineRule="exact"/>
        <w:jc w:val="both"/>
        <w:rPr>
          <w:rFonts w:ascii="Arial" w:eastAsia="Calibri" w:hAnsi="Arial" w:cs="Arial"/>
          <w:sz w:val="22"/>
          <w:szCs w:val="22"/>
          <w:lang w:val="en-AU"/>
        </w:rPr>
      </w:pPr>
    </w:p>
    <w:p w:rsidR="003264FF" w:rsidRPr="003264FF" w:rsidRDefault="003264FF" w:rsidP="003264FF">
      <w:p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The Whittlesea Family Violence Taskforce has identified a need to develop a more responsive approach to men’s behaviour change programs to meet the needs of the Whittlesea community.</w:t>
      </w:r>
    </w:p>
    <w:p w:rsidR="003D7C6B" w:rsidRDefault="003D7C6B" w:rsidP="003D7C6B">
      <w:pPr>
        <w:spacing w:line="280" w:lineRule="exact"/>
        <w:rPr>
          <w:rFonts w:ascii="Arial" w:eastAsia="Times New Roman" w:hAnsi="Arial" w:cs="Arial"/>
          <w:b/>
          <w:color w:val="0070C0"/>
          <w:sz w:val="22"/>
          <w:szCs w:val="22"/>
          <w:lang w:val="en-GB" w:eastAsia="en-AU"/>
        </w:rPr>
      </w:pPr>
    </w:p>
    <w:p w:rsidR="003264FF" w:rsidRPr="003264FF" w:rsidRDefault="003264FF" w:rsidP="003D7C6B">
      <w:pPr>
        <w:spacing w:line="280" w:lineRule="exact"/>
        <w:rPr>
          <w:rFonts w:ascii="Arial" w:eastAsia="Times New Roman" w:hAnsi="Arial" w:cs="Arial"/>
          <w:b/>
          <w:color w:val="0070C0"/>
          <w:sz w:val="22"/>
          <w:szCs w:val="22"/>
          <w:lang w:val="en-GB" w:eastAsia="en-AU"/>
        </w:rPr>
      </w:pPr>
      <w:r w:rsidRPr="003264FF">
        <w:rPr>
          <w:rFonts w:ascii="Arial" w:eastAsia="Times New Roman" w:hAnsi="Arial" w:cs="Arial"/>
          <w:b/>
          <w:color w:val="0070C0"/>
          <w:sz w:val="22"/>
          <w:szCs w:val="22"/>
          <w:lang w:val="en-GB" w:eastAsia="en-AU"/>
        </w:rPr>
        <w:t>How much will it cost?</w:t>
      </w: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p>
    <w:tbl>
      <w:tblPr>
        <w:tblStyle w:val="LightGrid-Accent11"/>
        <w:tblW w:w="5000" w:type="pct"/>
        <w:tblLook w:val="04A0" w:firstRow="1" w:lastRow="0" w:firstColumn="1" w:lastColumn="0" w:noHBand="0" w:noVBand="1"/>
      </w:tblPr>
      <w:tblGrid>
        <w:gridCol w:w="7969"/>
        <w:gridCol w:w="1879"/>
      </w:tblGrid>
      <w:tr w:rsidR="003264FF" w:rsidRPr="003264FF" w:rsidTr="00934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3D7C6B" w:rsidRDefault="003D7C6B" w:rsidP="003264FF">
            <w:pPr>
              <w:spacing w:line="280" w:lineRule="exact"/>
              <w:rPr>
                <w:rFonts w:ascii="Arial" w:hAnsi="Arial" w:cs="Arial"/>
              </w:rPr>
            </w:pPr>
          </w:p>
          <w:p w:rsidR="003264FF" w:rsidRPr="003D7C6B" w:rsidRDefault="003264FF" w:rsidP="003D7C6B">
            <w:pPr>
              <w:pStyle w:val="ListParagraph"/>
              <w:numPr>
                <w:ilvl w:val="0"/>
                <w:numId w:val="18"/>
              </w:numPr>
              <w:spacing w:line="280" w:lineRule="exact"/>
              <w:rPr>
                <w:rFonts w:ascii="Arial" w:hAnsi="Arial" w:cs="Arial"/>
              </w:rPr>
            </w:pPr>
            <w:r w:rsidRPr="003D7C6B">
              <w:rPr>
                <w:rFonts w:ascii="Arial" w:hAnsi="Arial" w:cs="Arial"/>
              </w:rPr>
              <w:t>Arabic-language Men’s Behaviour Change Program Pilot</w:t>
            </w:r>
          </w:p>
          <w:p w:rsidR="003D7C6B" w:rsidRPr="003D7C6B" w:rsidRDefault="003D7C6B" w:rsidP="003D7C6B">
            <w:pPr>
              <w:pStyle w:val="ListParagraph"/>
              <w:spacing w:line="280" w:lineRule="exact"/>
              <w:rPr>
                <w:rFonts w:ascii="Arial" w:hAnsi="Arial" w:cs="Arial"/>
              </w:rPr>
            </w:pPr>
          </w:p>
        </w:tc>
        <w:tc>
          <w:tcPr>
            <w:tcW w:w="954" w:type="pct"/>
          </w:tcPr>
          <w:p w:rsidR="003D7C6B" w:rsidRDefault="003D7C6B" w:rsidP="003264FF">
            <w:pPr>
              <w:spacing w:line="280" w:lineRule="exact"/>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p w:rsidR="003264FF" w:rsidRPr="003264FF" w:rsidRDefault="003264FF" w:rsidP="003264FF">
            <w:pPr>
              <w:spacing w:line="280" w:lineRule="exact"/>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3264FF">
              <w:rPr>
                <w:rFonts w:ascii="Arial" w:hAnsi="Arial" w:cs="Arial"/>
              </w:rPr>
              <w:t>Cost (per annum)</w:t>
            </w:r>
          </w:p>
        </w:tc>
      </w:tr>
      <w:tr w:rsidR="003264FF" w:rsidRPr="003264FF" w:rsidTr="0093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3D7C6B" w:rsidRPr="00FD5667" w:rsidRDefault="003D7C6B" w:rsidP="003264FF">
            <w:pPr>
              <w:spacing w:line="280" w:lineRule="exact"/>
              <w:rPr>
                <w:rFonts w:ascii="Arial" w:hAnsi="Arial" w:cs="Arial"/>
                <w:sz w:val="18"/>
                <w:szCs w:val="21"/>
              </w:rPr>
            </w:pPr>
          </w:p>
          <w:p w:rsidR="003264FF" w:rsidRPr="00865F23" w:rsidRDefault="003264FF" w:rsidP="00865F23">
            <w:pPr>
              <w:spacing w:line="280" w:lineRule="exact"/>
              <w:rPr>
                <w:rFonts w:ascii="Arial" w:hAnsi="Arial" w:cs="Arial"/>
                <w:sz w:val="21"/>
                <w:szCs w:val="21"/>
              </w:rPr>
            </w:pPr>
            <w:r w:rsidRPr="003264FF">
              <w:rPr>
                <w:rFonts w:ascii="Arial" w:hAnsi="Arial" w:cs="Arial"/>
                <w:sz w:val="21"/>
                <w:szCs w:val="21"/>
              </w:rPr>
              <w:t>3x 26 weeks (minimum 50 hours) Arabic-language programs</w:t>
            </w:r>
          </w:p>
          <w:p w:rsidR="003D7C6B" w:rsidRPr="003264FF" w:rsidRDefault="003D7C6B" w:rsidP="003264FF">
            <w:pPr>
              <w:spacing w:line="280" w:lineRule="exact"/>
              <w:rPr>
                <w:rFonts w:ascii="Arial" w:hAnsi="Arial" w:cs="Arial"/>
                <w:sz w:val="21"/>
                <w:szCs w:val="21"/>
              </w:rPr>
            </w:pPr>
          </w:p>
        </w:tc>
        <w:tc>
          <w:tcPr>
            <w:tcW w:w="954" w:type="pct"/>
          </w:tcPr>
          <w:p w:rsidR="003D7C6B" w:rsidRDefault="003D7C6B" w:rsidP="003264FF">
            <w:pPr>
              <w:spacing w:line="280" w:lineRule="exact"/>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3264FF" w:rsidRPr="003264FF" w:rsidRDefault="003264FF" w:rsidP="003264FF">
            <w:pPr>
              <w:spacing w:line="280" w:lineRule="exact"/>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264FF">
              <w:rPr>
                <w:rFonts w:ascii="Arial" w:eastAsia="Calibri" w:hAnsi="Arial" w:cs="Arial"/>
              </w:rPr>
              <w:t>$150,000</w:t>
            </w:r>
          </w:p>
        </w:tc>
      </w:tr>
      <w:tr w:rsidR="003264FF" w:rsidRPr="003264FF" w:rsidTr="00934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3264FF" w:rsidRPr="003264FF" w:rsidRDefault="003264FF" w:rsidP="00FD5667">
            <w:pPr>
              <w:spacing w:line="280" w:lineRule="exact"/>
              <w:rPr>
                <w:rFonts w:ascii="Arial" w:hAnsi="Arial" w:cs="Arial"/>
                <w:i/>
                <w:sz w:val="21"/>
                <w:szCs w:val="21"/>
                <w:lang w:val="en-GB"/>
              </w:rPr>
            </w:pPr>
            <w:r w:rsidRPr="003264FF">
              <w:rPr>
                <w:rFonts w:ascii="Arial" w:hAnsi="Arial" w:cs="Arial"/>
                <w:sz w:val="21"/>
                <w:szCs w:val="21"/>
                <w:lang w:val="en-GB"/>
              </w:rPr>
              <w:t xml:space="preserve">Evaluation – </w:t>
            </w:r>
            <w:proofErr w:type="spellStart"/>
            <w:r w:rsidRPr="003264FF">
              <w:rPr>
                <w:rFonts w:ascii="Arial" w:hAnsi="Arial" w:cs="Arial"/>
                <w:sz w:val="21"/>
                <w:szCs w:val="21"/>
                <w:lang w:val="en-GB"/>
              </w:rPr>
              <w:t>Monash</w:t>
            </w:r>
            <w:proofErr w:type="spellEnd"/>
            <w:r w:rsidRPr="003264FF">
              <w:rPr>
                <w:rFonts w:ascii="Arial" w:hAnsi="Arial" w:cs="Arial"/>
                <w:sz w:val="21"/>
                <w:szCs w:val="21"/>
                <w:lang w:val="en-GB"/>
              </w:rPr>
              <w:t xml:space="preserve"> University Gender, Leadership and Social Sustainability Unit</w:t>
            </w:r>
            <w:r w:rsidR="00FD5667">
              <w:rPr>
                <w:rFonts w:ascii="Arial" w:hAnsi="Arial" w:cs="Arial"/>
                <w:sz w:val="21"/>
                <w:szCs w:val="21"/>
                <w:lang w:val="en-GB"/>
              </w:rPr>
              <w:t xml:space="preserve">, </w:t>
            </w:r>
            <w:r w:rsidRPr="003264FF">
              <w:rPr>
                <w:rFonts w:ascii="Arial" w:hAnsi="Arial" w:cs="Arial"/>
                <w:i/>
                <w:sz w:val="21"/>
                <w:szCs w:val="21"/>
                <w:lang w:val="en-GB"/>
              </w:rPr>
              <w:t>Including evidence-sharing forum, publishing of findings and printing of report</w:t>
            </w:r>
            <w:r w:rsidR="00FD5667">
              <w:rPr>
                <w:rFonts w:ascii="Arial" w:hAnsi="Arial" w:cs="Arial"/>
                <w:i/>
                <w:sz w:val="21"/>
                <w:szCs w:val="21"/>
                <w:lang w:val="en-GB"/>
              </w:rPr>
              <w:t>.</w:t>
            </w:r>
          </w:p>
        </w:tc>
        <w:tc>
          <w:tcPr>
            <w:tcW w:w="954" w:type="pct"/>
          </w:tcPr>
          <w:p w:rsidR="003264FF" w:rsidRPr="003264FF" w:rsidRDefault="003264FF" w:rsidP="003264FF">
            <w:pPr>
              <w:spacing w:line="280" w:lineRule="exact"/>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3264FF">
              <w:rPr>
                <w:rFonts w:ascii="Arial" w:eastAsia="Calibri" w:hAnsi="Arial" w:cs="Arial"/>
              </w:rPr>
              <w:t>$10,000</w:t>
            </w:r>
          </w:p>
        </w:tc>
      </w:tr>
      <w:tr w:rsidR="003264FF" w:rsidRPr="003264FF" w:rsidTr="0093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3D7C6B" w:rsidRPr="00865F23" w:rsidRDefault="003D7C6B" w:rsidP="003264FF">
            <w:pPr>
              <w:spacing w:line="280" w:lineRule="exact"/>
              <w:rPr>
                <w:rFonts w:ascii="Arial" w:hAnsi="Arial" w:cs="Arial"/>
                <w:sz w:val="21"/>
                <w:szCs w:val="21"/>
                <w:lang w:val="en-GB"/>
              </w:rPr>
            </w:pPr>
          </w:p>
          <w:p w:rsidR="003264FF" w:rsidRPr="003264FF" w:rsidRDefault="003264FF" w:rsidP="003264FF">
            <w:pPr>
              <w:spacing w:line="280" w:lineRule="exact"/>
              <w:rPr>
                <w:rFonts w:ascii="Arial" w:hAnsi="Arial" w:cs="Arial"/>
                <w:sz w:val="21"/>
                <w:szCs w:val="21"/>
                <w:lang w:val="en-GB"/>
              </w:rPr>
            </w:pPr>
            <w:r w:rsidRPr="003264FF">
              <w:rPr>
                <w:rFonts w:ascii="Arial" w:hAnsi="Arial" w:cs="Arial"/>
                <w:sz w:val="21"/>
                <w:szCs w:val="21"/>
                <w:lang w:val="en-GB"/>
              </w:rPr>
              <w:t>Translation of program materials, administration costs</w:t>
            </w:r>
          </w:p>
        </w:tc>
        <w:tc>
          <w:tcPr>
            <w:tcW w:w="954" w:type="pct"/>
          </w:tcPr>
          <w:p w:rsidR="003D7C6B" w:rsidRDefault="003D7C6B" w:rsidP="003264FF">
            <w:pPr>
              <w:spacing w:line="280" w:lineRule="exact"/>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3264FF" w:rsidRPr="003264FF" w:rsidRDefault="003264FF" w:rsidP="003264FF">
            <w:pPr>
              <w:spacing w:line="280" w:lineRule="exact"/>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264FF">
              <w:rPr>
                <w:rFonts w:ascii="Arial" w:eastAsia="Calibri" w:hAnsi="Arial" w:cs="Arial"/>
              </w:rPr>
              <w:t>$5,000</w:t>
            </w:r>
          </w:p>
        </w:tc>
      </w:tr>
      <w:tr w:rsidR="003264FF" w:rsidRPr="003264FF" w:rsidTr="00934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3D7C6B" w:rsidRDefault="003D7C6B" w:rsidP="003264FF">
            <w:pPr>
              <w:spacing w:line="280" w:lineRule="exact"/>
              <w:rPr>
                <w:rFonts w:ascii="Arial" w:hAnsi="Arial" w:cs="Arial"/>
              </w:rPr>
            </w:pPr>
          </w:p>
          <w:p w:rsidR="003264FF" w:rsidRPr="003264FF" w:rsidRDefault="003264FF" w:rsidP="003264FF">
            <w:pPr>
              <w:spacing w:line="280" w:lineRule="exact"/>
              <w:rPr>
                <w:rFonts w:ascii="Arial" w:hAnsi="Arial" w:cs="Arial"/>
              </w:rPr>
            </w:pPr>
            <w:r w:rsidRPr="003264FF">
              <w:rPr>
                <w:rFonts w:ascii="Arial" w:hAnsi="Arial" w:cs="Arial"/>
              </w:rPr>
              <w:t>TOTAL (per annum)</w:t>
            </w:r>
          </w:p>
        </w:tc>
        <w:tc>
          <w:tcPr>
            <w:tcW w:w="954" w:type="pct"/>
          </w:tcPr>
          <w:p w:rsidR="003D7C6B" w:rsidRDefault="003D7C6B" w:rsidP="003264FF">
            <w:pPr>
              <w:spacing w:line="280" w:lineRule="exact"/>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p>
          <w:p w:rsidR="003264FF" w:rsidRPr="003264FF" w:rsidRDefault="003264FF" w:rsidP="003264FF">
            <w:pPr>
              <w:spacing w:line="280" w:lineRule="exact"/>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3264FF">
              <w:rPr>
                <w:rFonts w:ascii="Arial" w:eastAsia="Calibri" w:hAnsi="Arial" w:cs="Arial"/>
                <w:b/>
              </w:rPr>
              <w:t>$165,000</w:t>
            </w:r>
          </w:p>
        </w:tc>
      </w:tr>
    </w:tbl>
    <w:p w:rsidR="003264FF" w:rsidRDefault="003264FF" w:rsidP="003264FF">
      <w:pPr>
        <w:spacing w:line="280" w:lineRule="exact"/>
        <w:jc w:val="both"/>
        <w:rPr>
          <w:rFonts w:ascii="Arial" w:eastAsia="Times New Roman" w:hAnsi="Arial" w:cs="Arial"/>
          <w:b/>
          <w:color w:val="0070C0"/>
          <w:sz w:val="22"/>
          <w:szCs w:val="22"/>
          <w:lang w:val="en-GB" w:eastAsia="en-AU"/>
        </w:rPr>
      </w:pPr>
    </w:p>
    <w:p w:rsidR="00865F23" w:rsidRDefault="00865F23" w:rsidP="003264FF">
      <w:pPr>
        <w:spacing w:line="280" w:lineRule="exact"/>
        <w:jc w:val="both"/>
        <w:rPr>
          <w:rFonts w:ascii="Arial" w:eastAsia="Times New Roman" w:hAnsi="Arial" w:cs="Arial"/>
          <w:b/>
          <w:color w:val="0070C0"/>
          <w:sz w:val="22"/>
          <w:szCs w:val="22"/>
          <w:lang w:val="en-GB" w:eastAsia="en-AU"/>
        </w:rPr>
      </w:pPr>
    </w:p>
    <w:p w:rsidR="00865F23" w:rsidRPr="003264FF" w:rsidRDefault="00865F23" w:rsidP="003264FF">
      <w:pPr>
        <w:spacing w:line="280" w:lineRule="exact"/>
        <w:jc w:val="both"/>
        <w:rPr>
          <w:rFonts w:ascii="Arial" w:eastAsia="Times New Roman" w:hAnsi="Arial" w:cs="Arial"/>
          <w:b/>
          <w:color w:val="0070C0"/>
          <w:sz w:val="22"/>
          <w:szCs w:val="22"/>
          <w:lang w:val="en-GB" w:eastAsia="en-AU"/>
        </w:rPr>
      </w:pPr>
    </w:p>
    <w:tbl>
      <w:tblPr>
        <w:tblStyle w:val="LightGrid-Accent11"/>
        <w:tblW w:w="5000" w:type="pct"/>
        <w:tblLook w:val="04A0" w:firstRow="1" w:lastRow="0" w:firstColumn="1" w:lastColumn="0" w:noHBand="0" w:noVBand="1"/>
      </w:tblPr>
      <w:tblGrid>
        <w:gridCol w:w="7969"/>
        <w:gridCol w:w="1879"/>
      </w:tblGrid>
      <w:tr w:rsidR="003264FF" w:rsidRPr="003264FF" w:rsidTr="00934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3D7C6B" w:rsidRDefault="003D7C6B" w:rsidP="003264FF">
            <w:pPr>
              <w:spacing w:line="280" w:lineRule="exact"/>
              <w:rPr>
                <w:rFonts w:ascii="Arial" w:hAnsi="Arial" w:cs="Arial"/>
              </w:rPr>
            </w:pPr>
          </w:p>
          <w:p w:rsidR="003264FF" w:rsidRPr="003D7C6B" w:rsidRDefault="003264FF" w:rsidP="003D7C6B">
            <w:pPr>
              <w:pStyle w:val="ListParagraph"/>
              <w:numPr>
                <w:ilvl w:val="0"/>
                <w:numId w:val="18"/>
              </w:numPr>
              <w:spacing w:line="280" w:lineRule="exact"/>
              <w:rPr>
                <w:rFonts w:ascii="Arial" w:hAnsi="Arial" w:cs="Arial"/>
              </w:rPr>
            </w:pPr>
            <w:r w:rsidRPr="003D7C6B">
              <w:rPr>
                <w:rFonts w:ascii="Arial" w:hAnsi="Arial" w:cs="Arial"/>
              </w:rPr>
              <w:t>Develop an innovative place-based model for men’s behaviour change programs</w:t>
            </w:r>
          </w:p>
          <w:p w:rsidR="003D7C6B" w:rsidRPr="003D7C6B" w:rsidRDefault="003D7C6B" w:rsidP="003D7C6B">
            <w:pPr>
              <w:pStyle w:val="ListParagraph"/>
              <w:spacing w:line="280" w:lineRule="exact"/>
              <w:rPr>
                <w:rFonts w:ascii="Arial" w:hAnsi="Arial" w:cs="Arial"/>
              </w:rPr>
            </w:pPr>
          </w:p>
        </w:tc>
        <w:tc>
          <w:tcPr>
            <w:tcW w:w="954" w:type="pct"/>
          </w:tcPr>
          <w:p w:rsidR="00865F23" w:rsidRDefault="00865F23" w:rsidP="003264FF">
            <w:pPr>
              <w:spacing w:line="280" w:lineRule="exact"/>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p w:rsidR="003264FF" w:rsidRPr="003264FF" w:rsidRDefault="003264FF" w:rsidP="003264FF">
            <w:pPr>
              <w:spacing w:line="280" w:lineRule="exact"/>
              <w:jc w:val="right"/>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3264FF">
              <w:rPr>
                <w:rFonts w:ascii="Arial" w:hAnsi="Arial" w:cs="Arial"/>
              </w:rPr>
              <w:t>Cost (per annum)</w:t>
            </w:r>
          </w:p>
        </w:tc>
      </w:tr>
      <w:tr w:rsidR="003264FF" w:rsidRPr="003264FF" w:rsidTr="0093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865F23" w:rsidRPr="00865F23" w:rsidRDefault="00865F23" w:rsidP="00865F23">
            <w:pPr>
              <w:spacing w:line="280" w:lineRule="exact"/>
              <w:rPr>
                <w:rFonts w:ascii="Arial" w:hAnsi="Arial" w:cs="Arial"/>
                <w:sz w:val="21"/>
                <w:szCs w:val="21"/>
                <w:lang w:val="en-GB"/>
              </w:rPr>
            </w:pPr>
          </w:p>
          <w:p w:rsidR="00865F23" w:rsidRPr="003264FF" w:rsidRDefault="003264FF" w:rsidP="00FD5667">
            <w:pPr>
              <w:spacing w:line="280" w:lineRule="exact"/>
              <w:rPr>
                <w:rFonts w:ascii="Arial" w:hAnsi="Arial" w:cs="Arial"/>
                <w:sz w:val="21"/>
                <w:szCs w:val="21"/>
              </w:rPr>
            </w:pPr>
            <w:r w:rsidRPr="003264FF">
              <w:rPr>
                <w:rFonts w:ascii="Arial" w:hAnsi="Arial" w:cs="Arial"/>
                <w:sz w:val="21"/>
                <w:szCs w:val="21"/>
                <w:lang w:val="en-GB"/>
              </w:rPr>
              <w:t>Research, consultation and development of an innovative place-based model for men’s behaviour change programs to meet the needs of the community in the City of Whittlesea</w:t>
            </w:r>
          </w:p>
        </w:tc>
        <w:tc>
          <w:tcPr>
            <w:tcW w:w="954" w:type="pct"/>
          </w:tcPr>
          <w:p w:rsidR="00865F23" w:rsidRDefault="00865F23" w:rsidP="003264FF">
            <w:pPr>
              <w:spacing w:line="280" w:lineRule="exact"/>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p>
          <w:p w:rsidR="003264FF" w:rsidRPr="003264FF" w:rsidRDefault="003264FF" w:rsidP="003264FF">
            <w:pPr>
              <w:spacing w:line="280" w:lineRule="exact"/>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264FF">
              <w:rPr>
                <w:rFonts w:ascii="Arial" w:eastAsia="Calibri" w:hAnsi="Arial" w:cs="Arial"/>
                <w:lang w:val="en-GB"/>
              </w:rPr>
              <w:t>$100,000</w:t>
            </w:r>
          </w:p>
        </w:tc>
      </w:tr>
      <w:tr w:rsidR="003264FF" w:rsidRPr="003264FF" w:rsidTr="00934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6" w:type="pct"/>
          </w:tcPr>
          <w:p w:rsidR="00865F23" w:rsidRPr="00865F23" w:rsidRDefault="00865F23" w:rsidP="003264FF">
            <w:pPr>
              <w:spacing w:line="280" w:lineRule="exact"/>
              <w:rPr>
                <w:rFonts w:ascii="Arial" w:hAnsi="Arial" w:cs="Arial"/>
                <w:sz w:val="21"/>
                <w:szCs w:val="21"/>
              </w:rPr>
            </w:pPr>
          </w:p>
          <w:p w:rsidR="003264FF" w:rsidRPr="003264FF" w:rsidRDefault="003264FF" w:rsidP="003264FF">
            <w:pPr>
              <w:spacing w:line="280" w:lineRule="exact"/>
              <w:rPr>
                <w:rFonts w:ascii="Arial" w:hAnsi="Arial" w:cs="Arial"/>
                <w:sz w:val="21"/>
                <w:szCs w:val="21"/>
                <w:lang w:val="en-GB"/>
              </w:rPr>
            </w:pPr>
            <w:r w:rsidRPr="003264FF">
              <w:rPr>
                <w:rFonts w:ascii="Arial" w:hAnsi="Arial" w:cs="Arial"/>
                <w:sz w:val="21"/>
                <w:szCs w:val="21"/>
              </w:rPr>
              <w:t>TOTAL (per annum)</w:t>
            </w:r>
          </w:p>
        </w:tc>
        <w:tc>
          <w:tcPr>
            <w:tcW w:w="954" w:type="pct"/>
          </w:tcPr>
          <w:p w:rsidR="00865F23" w:rsidRDefault="00865F23" w:rsidP="003264FF">
            <w:pPr>
              <w:spacing w:line="280" w:lineRule="exact"/>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lang w:val="en-GB"/>
              </w:rPr>
            </w:pPr>
          </w:p>
          <w:p w:rsidR="003264FF" w:rsidRPr="003264FF" w:rsidRDefault="003264FF" w:rsidP="003264FF">
            <w:pPr>
              <w:spacing w:line="280" w:lineRule="exact"/>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lang w:val="en-GB"/>
              </w:rPr>
            </w:pPr>
            <w:r w:rsidRPr="003264FF">
              <w:rPr>
                <w:rFonts w:ascii="Arial" w:eastAsia="Calibri" w:hAnsi="Arial" w:cs="Arial"/>
                <w:b/>
                <w:lang w:val="en-GB"/>
              </w:rPr>
              <w:t>$100,000</w:t>
            </w:r>
          </w:p>
        </w:tc>
      </w:tr>
    </w:tbl>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r w:rsidRPr="003264FF">
        <w:rPr>
          <w:rFonts w:ascii="Arial" w:eastAsia="Times New Roman" w:hAnsi="Arial" w:cs="Arial"/>
          <w:b/>
          <w:color w:val="0070C0"/>
          <w:sz w:val="22"/>
          <w:szCs w:val="22"/>
          <w:lang w:val="en-GB" w:eastAsia="en-AU"/>
        </w:rPr>
        <w:t>How will the community benefit?</w:t>
      </w:r>
    </w:p>
    <w:p w:rsidR="003264FF" w:rsidRPr="003264FF" w:rsidRDefault="003264FF" w:rsidP="003264FF">
      <w:pPr>
        <w:spacing w:line="280" w:lineRule="exact"/>
        <w:jc w:val="both"/>
        <w:rPr>
          <w:rFonts w:ascii="Arial" w:eastAsia="Calibri" w:hAnsi="Arial" w:cs="Arial"/>
          <w:sz w:val="22"/>
          <w:szCs w:val="22"/>
          <w:lang w:val="en-GB"/>
        </w:rPr>
      </w:pPr>
    </w:p>
    <w:p w:rsidR="00865F23" w:rsidRDefault="003264FF" w:rsidP="003264FF">
      <w:p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 xml:space="preserve">Family violence occurs in all communities; it is critical to provide specialist family violence services with a CALD focus in the City of Whittlesea given the high CALD population, the current and projected growth rate as well as the geographic isolation of some areas due to the urban/rural interface.  The high rates of family violence incidents also require a comprehensive approach to not only address the critical issues arising currently but to position the City of Whittlesea into the future.  </w:t>
      </w:r>
    </w:p>
    <w:p w:rsidR="00865F23" w:rsidRDefault="00865F23" w:rsidP="003264FF">
      <w:pPr>
        <w:spacing w:line="280" w:lineRule="exact"/>
        <w:jc w:val="both"/>
        <w:rPr>
          <w:rFonts w:ascii="Arial" w:eastAsia="Calibri" w:hAnsi="Arial" w:cs="Arial"/>
          <w:sz w:val="22"/>
          <w:szCs w:val="22"/>
          <w:lang w:val="en-AU"/>
        </w:rPr>
      </w:pPr>
    </w:p>
    <w:p w:rsidR="00865F23" w:rsidRDefault="00865F23" w:rsidP="003264FF">
      <w:pPr>
        <w:spacing w:line="280" w:lineRule="exact"/>
        <w:jc w:val="both"/>
        <w:rPr>
          <w:rFonts w:ascii="Arial" w:eastAsia="Calibri" w:hAnsi="Arial" w:cs="Arial"/>
          <w:sz w:val="22"/>
          <w:szCs w:val="22"/>
          <w:lang w:val="en-AU"/>
        </w:rPr>
      </w:pPr>
    </w:p>
    <w:p w:rsidR="00865F23" w:rsidRDefault="00865F23" w:rsidP="003264FF">
      <w:pPr>
        <w:spacing w:line="280" w:lineRule="exact"/>
        <w:jc w:val="both"/>
        <w:rPr>
          <w:rFonts w:ascii="Arial" w:eastAsia="Calibri" w:hAnsi="Arial" w:cs="Arial"/>
          <w:sz w:val="22"/>
          <w:szCs w:val="22"/>
          <w:lang w:val="en-AU"/>
        </w:rPr>
      </w:pPr>
    </w:p>
    <w:p w:rsidR="00865F23" w:rsidRDefault="00865F23" w:rsidP="003264FF">
      <w:pPr>
        <w:spacing w:line="280" w:lineRule="exact"/>
        <w:jc w:val="both"/>
        <w:rPr>
          <w:rFonts w:ascii="Arial" w:eastAsia="Calibri" w:hAnsi="Arial" w:cs="Arial"/>
          <w:sz w:val="22"/>
          <w:szCs w:val="22"/>
          <w:lang w:val="en-AU"/>
        </w:rPr>
      </w:pPr>
    </w:p>
    <w:p w:rsidR="00865F23" w:rsidRDefault="00865F23" w:rsidP="003264FF">
      <w:pPr>
        <w:spacing w:line="280" w:lineRule="exact"/>
        <w:jc w:val="both"/>
        <w:rPr>
          <w:rFonts w:ascii="Arial" w:eastAsia="Calibri" w:hAnsi="Arial" w:cs="Arial"/>
          <w:sz w:val="22"/>
          <w:szCs w:val="22"/>
          <w:lang w:val="en-AU"/>
        </w:rPr>
      </w:pPr>
    </w:p>
    <w:p w:rsidR="00865F23" w:rsidRDefault="00865F23" w:rsidP="003264FF">
      <w:pPr>
        <w:spacing w:line="280" w:lineRule="exact"/>
        <w:jc w:val="both"/>
        <w:rPr>
          <w:rFonts w:ascii="Arial" w:eastAsia="Calibri" w:hAnsi="Arial" w:cs="Arial"/>
          <w:sz w:val="22"/>
          <w:szCs w:val="22"/>
          <w:lang w:val="en-AU"/>
        </w:rPr>
      </w:pPr>
    </w:p>
    <w:p w:rsidR="00865F23" w:rsidRDefault="00865F23" w:rsidP="003264FF">
      <w:pPr>
        <w:spacing w:line="280" w:lineRule="exact"/>
        <w:jc w:val="both"/>
        <w:rPr>
          <w:rFonts w:ascii="Arial" w:eastAsia="Calibri" w:hAnsi="Arial" w:cs="Arial"/>
          <w:sz w:val="22"/>
          <w:szCs w:val="22"/>
          <w:lang w:val="en-GB"/>
        </w:rPr>
      </w:pPr>
    </w:p>
    <w:p w:rsidR="00FD5667" w:rsidRDefault="00FD5667" w:rsidP="003264FF">
      <w:pPr>
        <w:spacing w:line="280" w:lineRule="exact"/>
        <w:jc w:val="both"/>
        <w:rPr>
          <w:rFonts w:ascii="Arial" w:eastAsia="Calibri" w:hAnsi="Arial" w:cs="Arial"/>
          <w:sz w:val="22"/>
          <w:szCs w:val="22"/>
          <w:lang w:val="en-GB"/>
        </w:rPr>
      </w:pPr>
    </w:p>
    <w:p w:rsidR="00FD5667" w:rsidRDefault="00FD5667" w:rsidP="003264FF">
      <w:pPr>
        <w:spacing w:line="280" w:lineRule="exact"/>
        <w:jc w:val="both"/>
        <w:rPr>
          <w:rFonts w:ascii="Arial" w:eastAsia="Calibri" w:hAnsi="Arial" w:cs="Arial"/>
          <w:sz w:val="22"/>
          <w:szCs w:val="22"/>
          <w:lang w:val="en-GB"/>
        </w:rPr>
      </w:pPr>
    </w:p>
    <w:p w:rsidR="003264FF" w:rsidRPr="003264FF" w:rsidRDefault="003264FF" w:rsidP="003264FF">
      <w:pPr>
        <w:spacing w:line="280" w:lineRule="exact"/>
        <w:jc w:val="both"/>
        <w:rPr>
          <w:rFonts w:ascii="Arial" w:eastAsia="Calibri" w:hAnsi="Arial" w:cs="Arial"/>
          <w:sz w:val="22"/>
          <w:szCs w:val="22"/>
          <w:lang w:val="en-GB"/>
        </w:rPr>
      </w:pPr>
      <w:r w:rsidRPr="003264FF">
        <w:rPr>
          <w:rFonts w:ascii="Arial" w:eastAsia="Calibri" w:hAnsi="Arial" w:cs="Arial"/>
          <w:sz w:val="22"/>
          <w:szCs w:val="22"/>
          <w:lang w:val="en-GB"/>
        </w:rPr>
        <w:t>More equitable access to behaviour change programs for all perpetrators of family violence has the potential to reduce the high rates of recidivism in this municipality.  Family violence is an issue for all communities however behaviour change programs for CALD men will have a profound impact on the number of local men being held accountable for their violence in a culturally sensitive way, and who are currently unable to benefit from existing mainstream services.</w:t>
      </w:r>
    </w:p>
    <w:p w:rsidR="003264FF" w:rsidRDefault="003264FF" w:rsidP="003264FF">
      <w:pPr>
        <w:spacing w:line="280" w:lineRule="exact"/>
        <w:jc w:val="both"/>
        <w:rPr>
          <w:rFonts w:ascii="Arial" w:eastAsia="Calibri" w:hAnsi="Arial" w:cs="Arial"/>
          <w:sz w:val="22"/>
          <w:szCs w:val="22"/>
          <w:lang w:val="en-GB"/>
        </w:rPr>
      </w:pPr>
    </w:p>
    <w:p w:rsidR="00865F23" w:rsidRPr="003264FF" w:rsidRDefault="00865F23" w:rsidP="003264FF">
      <w:pPr>
        <w:spacing w:line="280" w:lineRule="exact"/>
        <w:jc w:val="both"/>
        <w:rPr>
          <w:rFonts w:ascii="Arial" w:eastAsia="Calibri" w:hAnsi="Arial" w:cs="Arial"/>
          <w:sz w:val="22"/>
          <w:szCs w:val="22"/>
          <w:lang w:val="en-GB"/>
        </w:rPr>
      </w:pPr>
    </w:p>
    <w:tbl>
      <w:tblPr>
        <w:tblStyle w:val="LightGrid-Accent11"/>
        <w:tblW w:w="5000" w:type="pct"/>
        <w:tblLook w:val="04A0" w:firstRow="1" w:lastRow="0" w:firstColumn="1" w:lastColumn="0" w:noHBand="0" w:noVBand="1"/>
      </w:tblPr>
      <w:tblGrid>
        <w:gridCol w:w="4924"/>
        <w:gridCol w:w="4924"/>
      </w:tblGrid>
      <w:tr w:rsidR="003264FF" w:rsidRPr="003264FF" w:rsidTr="00934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3264FF" w:rsidRPr="003264FF" w:rsidRDefault="003264FF" w:rsidP="003264FF">
            <w:pPr>
              <w:spacing w:line="280" w:lineRule="exact"/>
              <w:rPr>
                <w:rFonts w:ascii="Arial" w:hAnsi="Arial" w:cs="Arial"/>
                <w:lang w:val="en-GB"/>
              </w:rPr>
            </w:pPr>
            <w:r w:rsidRPr="003264FF">
              <w:rPr>
                <w:rFonts w:ascii="Arial" w:hAnsi="Arial" w:cs="Arial"/>
                <w:lang w:val="en-GB"/>
              </w:rPr>
              <w:t>Immediate impacts</w:t>
            </w:r>
          </w:p>
        </w:tc>
        <w:tc>
          <w:tcPr>
            <w:tcW w:w="2500" w:type="pct"/>
          </w:tcPr>
          <w:p w:rsidR="003264FF" w:rsidRPr="003264FF" w:rsidRDefault="003264FF" w:rsidP="003264FF">
            <w:pPr>
              <w:spacing w:line="280" w:lineRule="exact"/>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3264FF">
              <w:rPr>
                <w:rFonts w:ascii="Arial" w:hAnsi="Arial" w:cs="Arial"/>
                <w:lang w:val="en-GB"/>
              </w:rPr>
              <w:t>Longer term benefits</w:t>
            </w:r>
          </w:p>
        </w:tc>
      </w:tr>
      <w:tr w:rsidR="003264FF" w:rsidRPr="003264FF" w:rsidTr="0093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3264FF" w:rsidRPr="003264FF" w:rsidRDefault="003264FF" w:rsidP="003264FF">
            <w:pPr>
              <w:spacing w:line="280" w:lineRule="exact"/>
              <w:rPr>
                <w:rFonts w:ascii="Arial" w:hAnsi="Arial" w:cs="Arial"/>
                <w:lang w:val="en-GB"/>
              </w:rPr>
            </w:pPr>
            <w:r w:rsidRPr="003264FF">
              <w:rPr>
                <w:rFonts w:ascii="Arial" w:hAnsi="Arial" w:cs="Arial"/>
                <w:lang w:val="en-GB"/>
              </w:rPr>
              <w:t>-Inclusive and equitable access to men’s behaviour change programs for CALD men</w:t>
            </w:r>
          </w:p>
        </w:tc>
        <w:tc>
          <w:tcPr>
            <w:tcW w:w="2500" w:type="pct"/>
          </w:tcPr>
          <w:p w:rsidR="003264FF" w:rsidRPr="003264FF" w:rsidRDefault="003264FF" w:rsidP="003264FF">
            <w:pPr>
              <w:spacing w:line="280"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3264FF">
              <w:rPr>
                <w:rFonts w:ascii="Arial" w:eastAsia="Calibri" w:hAnsi="Arial" w:cs="Arial"/>
                <w:lang w:val="en-GB"/>
              </w:rPr>
              <w:t>-Reduced recidivism by offenders (and costs associated policing, courts)</w:t>
            </w:r>
          </w:p>
          <w:p w:rsidR="003264FF" w:rsidRPr="003264FF" w:rsidRDefault="003264FF" w:rsidP="003264FF">
            <w:pPr>
              <w:spacing w:line="280"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3264FF">
              <w:rPr>
                <w:rFonts w:ascii="Arial" w:eastAsia="Calibri" w:hAnsi="Arial" w:cs="Arial"/>
                <w:lang w:val="en-GB"/>
              </w:rPr>
              <w:t>-Improved supports for women and children through partner-contacts for CALD communities</w:t>
            </w:r>
          </w:p>
          <w:p w:rsidR="003264FF" w:rsidRPr="003264FF" w:rsidRDefault="003264FF" w:rsidP="003264FF">
            <w:pPr>
              <w:spacing w:line="280"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3264FF">
              <w:rPr>
                <w:rFonts w:ascii="Arial" w:eastAsia="Calibri" w:hAnsi="Arial" w:cs="Arial"/>
                <w:lang w:val="en-GB"/>
              </w:rPr>
              <w:t>-Safety for women and children</w:t>
            </w:r>
          </w:p>
          <w:p w:rsidR="003264FF" w:rsidRPr="003264FF" w:rsidRDefault="003264FF" w:rsidP="003264FF">
            <w:pPr>
              <w:spacing w:line="280"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3264FF">
              <w:rPr>
                <w:rFonts w:ascii="Arial" w:eastAsia="Calibri" w:hAnsi="Arial" w:cs="Arial"/>
                <w:lang w:val="en-GB"/>
              </w:rPr>
              <w:t>-Reduced violence against women and children</w:t>
            </w:r>
          </w:p>
        </w:tc>
      </w:tr>
    </w:tbl>
    <w:p w:rsidR="003264FF" w:rsidRDefault="003264FF" w:rsidP="003264FF">
      <w:pPr>
        <w:spacing w:line="280" w:lineRule="exact"/>
        <w:jc w:val="both"/>
        <w:rPr>
          <w:rFonts w:ascii="Arial" w:eastAsia="Times New Roman" w:hAnsi="Arial" w:cs="Arial"/>
          <w:b/>
          <w:color w:val="0070C0"/>
          <w:sz w:val="22"/>
          <w:szCs w:val="22"/>
          <w:lang w:val="en-GB" w:eastAsia="en-AU"/>
        </w:rPr>
      </w:pPr>
    </w:p>
    <w:p w:rsidR="003D7C6B" w:rsidRDefault="003D7C6B"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r w:rsidRPr="003264FF">
        <w:rPr>
          <w:rFonts w:ascii="Arial" w:eastAsia="Times New Roman" w:hAnsi="Arial" w:cs="Arial"/>
          <w:b/>
          <w:color w:val="0070C0"/>
          <w:sz w:val="22"/>
          <w:szCs w:val="22"/>
          <w:lang w:val="en-GB" w:eastAsia="en-AU"/>
        </w:rPr>
        <w:t>What objectives does this help us to achieve?</w:t>
      </w:r>
    </w:p>
    <w:p w:rsidR="003264FF" w:rsidRPr="003264FF" w:rsidRDefault="003264FF" w:rsidP="003264FF">
      <w:pPr>
        <w:spacing w:line="280" w:lineRule="exact"/>
        <w:jc w:val="both"/>
        <w:rPr>
          <w:rFonts w:ascii="Arial" w:eastAsia="Calibri" w:hAnsi="Arial" w:cs="Arial"/>
          <w:b/>
          <w:sz w:val="22"/>
          <w:szCs w:val="22"/>
          <w:lang w:val="en-AU"/>
        </w:rPr>
      </w:pPr>
    </w:p>
    <w:p w:rsidR="003264FF" w:rsidRPr="003264FF" w:rsidRDefault="003264FF" w:rsidP="003264FF">
      <w:pPr>
        <w:spacing w:line="280" w:lineRule="exact"/>
        <w:jc w:val="both"/>
        <w:rPr>
          <w:rFonts w:ascii="Arial" w:eastAsia="Calibri" w:hAnsi="Arial" w:cs="Arial"/>
          <w:b/>
          <w:sz w:val="22"/>
          <w:szCs w:val="22"/>
          <w:lang w:val="en-AU"/>
        </w:rPr>
      </w:pPr>
      <w:r w:rsidRPr="003264FF">
        <w:rPr>
          <w:rFonts w:ascii="Arial" w:eastAsia="Calibri" w:hAnsi="Arial" w:cs="Arial"/>
          <w:b/>
          <w:sz w:val="22"/>
          <w:szCs w:val="22"/>
          <w:lang w:val="en-AU"/>
        </w:rPr>
        <w:t>Federal Government</w:t>
      </w:r>
    </w:p>
    <w:p w:rsidR="003264FF" w:rsidRPr="003264FF" w:rsidRDefault="003264FF" w:rsidP="003264FF">
      <w:pPr>
        <w:numPr>
          <w:ilvl w:val="0"/>
          <w:numId w:val="12"/>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National Plan to Reduce Violence against Women and Their Children 2010-2022</w:t>
      </w:r>
    </w:p>
    <w:p w:rsidR="003264FF" w:rsidRPr="003264FF" w:rsidRDefault="003264FF" w:rsidP="003264FF">
      <w:pPr>
        <w:numPr>
          <w:ilvl w:val="0"/>
          <w:numId w:val="12"/>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National Plan First Action Plan 2010-2013: Building A Strong Foundation</w:t>
      </w:r>
    </w:p>
    <w:p w:rsidR="003264FF" w:rsidRPr="003264FF" w:rsidRDefault="003264FF" w:rsidP="003264FF">
      <w:pPr>
        <w:spacing w:line="280" w:lineRule="exact"/>
        <w:jc w:val="both"/>
        <w:rPr>
          <w:rFonts w:ascii="Arial" w:eastAsia="Calibri" w:hAnsi="Arial" w:cs="Arial"/>
          <w:b/>
          <w:sz w:val="22"/>
          <w:szCs w:val="22"/>
          <w:lang w:val="en-AU"/>
        </w:rPr>
      </w:pPr>
    </w:p>
    <w:p w:rsidR="003264FF" w:rsidRPr="003264FF" w:rsidRDefault="003264FF" w:rsidP="003264FF">
      <w:pPr>
        <w:spacing w:line="280" w:lineRule="exact"/>
        <w:jc w:val="both"/>
        <w:rPr>
          <w:rFonts w:ascii="Arial" w:eastAsia="Calibri" w:hAnsi="Arial" w:cs="Arial"/>
          <w:b/>
          <w:sz w:val="22"/>
          <w:szCs w:val="22"/>
          <w:lang w:val="en-AU"/>
        </w:rPr>
      </w:pPr>
      <w:r w:rsidRPr="003264FF">
        <w:rPr>
          <w:rFonts w:ascii="Arial" w:eastAsia="Calibri" w:hAnsi="Arial" w:cs="Arial"/>
          <w:b/>
          <w:sz w:val="22"/>
          <w:szCs w:val="22"/>
          <w:lang w:val="en-AU"/>
        </w:rPr>
        <w:t>Victorian Government</w:t>
      </w:r>
    </w:p>
    <w:p w:rsidR="003264FF" w:rsidRPr="003264FF" w:rsidRDefault="003264FF" w:rsidP="003264FF">
      <w:pPr>
        <w:numPr>
          <w:ilvl w:val="0"/>
          <w:numId w:val="13"/>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Everyone Has A Responsibility To Act – Victoria’s Action Plan to Address Violence Against Women and Children 2012-2015</w:t>
      </w:r>
    </w:p>
    <w:p w:rsidR="003264FF" w:rsidRPr="003264FF" w:rsidRDefault="003264FF" w:rsidP="003264FF">
      <w:pPr>
        <w:spacing w:line="280" w:lineRule="exact"/>
        <w:jc w:val="both"/>
        <w:rPr>
          <w:rFonts w:ascii="Arial" w:eastAsia="Calibri" w:hAnsi="Arial" w:cs="Arial"/>
          <w:b/>
          <w:sz w:val="22"/>
          <w:szCs w:val="22"/>
          <w:lang w:val="en-AU"/>
        </w:rPr>
      </w:pPr>
    </w:p>
    <w:p w:rsidR="003264FF" w:rsidRPr="003264FF" w:rsidRDefault="003264FF" w:rsidP="003264FF">
      <w:pPr>
        <w:spacing w:line="280" w:lineRule="exact"/>
        <w:jc w:val="both"/>
        <w:rPr>
          <w:rFonts w:ascii="Arial" w:eastAsia="Calibri" w:hAnsi="Arial" w:cs="Arial"/>
          <w:b/>
          <w:sz w:val="22"/>
          <w:szCs w:val="22"/>
          <w:lang w:val="en-AU"/>
        </w:rPr>
      </w:pPr>
      <w:r w:rsidRPr="003264FF">
        <w:rPr>
          <w:rFonts w:ascii="Arial" w:eastAsia="Calibri" w:hAnsi="Arial" w:cs="Arial"/>
          <w:b/>
          <w:sz w:val="22"/>
          <w:szCs w:val="22"/>
          <w:lang w:val="en-AU"/>
        </w:rPr>
        <w:t>City of Whittlesea</w:t>
      </w:r>
    </w:p>
    <w:p w:rsidR="003264FF" w:rsidRPr="003264FF" w:rsidRDefault="003264FF" w:rsidP="003264FF">
      <w:pPr>
        <w:numPr>
          <w:ilvl w:val="0"/>
          <w:numId w:val="14"/>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Council Plan 2013-2017</w:t>
      </w:r>
    </w:p>
    <w:p w:rsidR="003264FF" w:rsidRPr="003264FF" w:rsidRDefault="003264FF" w:rsidP="003264FF">
      <w:pPr>
        <w:numPr>
          <w:ilvl w:val="0"/>
          <w:numId w:val="14"/>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Municipal Public Health and Wellbeing Plan 2013-2017</w:t>
      </w:r>
    </w:p>
    <w:p w:rsidR="003264FF" w:rsidRPr="003264FF" w:rsidRDefault="003264FF" w:rsidP="003264FF">
      <w:pPr>
        <w:numPr>
          <w:ilvl w:val="0"/>
          <w:numId w:val="14"/>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Connect: A municipal plan for children, young people and their families 2013-2018</w:t>
      </w:r>
    </w:p>
    <w:p w:rsidR="003264FF" w:rsidRPr="003264FF" w:rsidRDefault="003264FF" w:rsidP="003264FF">
      <w:pPr>
        <w:numPr>
          <w:ilvl w:val="0"/>
          <w:numId w:val="14"/>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Building a Respectful Community A Strategy for the Northern Metropolitan Region 2011-2016</w:t>
      </w:r>
    </w:p>
    <w:p w:rsidR="003264FF" w:rsidRPr="003264FF" w:rsidRDefault="003264FF" w:rsidP="003264FF">
      <w:pPr>
        <w:numPr>
          <w:ilvl w:val="0"/>
          <w:numId w:val="14"/>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Department of Justice North Metropolitan Region Regional Community Safety Plan 2011</w:t>
      </w:r>
    </w:p>
    <w:p w:rsidR="003264FF" w:rsidRPr="003264FF" w:rsidRDefault="003264FF" w:rsidP="003264FF">
      <w:pPr>
        <w:numPr>
          <w:ilvl w:val="0"/>
          <w:numId w:val="14"/>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Whittlesea Community Futures Partnership Action Plan 2011-2016</w:t>
      </w: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p>
    <w:p w:rsidR="00FD5667" w:rsidRDefault="00FD5667"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r w:rsidRPr="003264FF">
        <w:rPr>
          <w:rFonts w:ascii="Arial" w:eastAsia="Times New Roman" w:hAnsi="Arial" w:cs="Arial"/>
          <w:b/>
          <w:color w:val="0070C0"/>
          <w:sz w:val="22"/>
          <w:szCs w:val="22"/>
          <w:lang w:val="en-GB" w:eastAsia="en-AU"/>
        </w:rPr>
        <w:t>Key Messages</w:t>
      </w:r>
    </w:p>
    <w:p w:rsidR="003264FF" w:rsidRPr="003264FF" w:rsidRDefault="003264FF" w:rsidP="003264FF">
      <w:pPr>
        <w:spacing w:line="280" w:lineRule="exact"/>
        <w:jc w:val="both"/>
        <w:rPr>
          <w:rFonts w:ascii="Arial" w:eastAsia="Times New Roman" w:hAnsi="Arial" w:cs="Arial"/>
          <w:b/>
          <w:color w:val="0070C0"/>
          <w:sz w:val="22"/>
          <w:szCs w:val="22"/>
          <w:lang w:val="en-GB" w:eastAsia="en-AU"/>
        </w:rPr>
      </w:pPr>
    </w:p>
    <w:p w:rsidR="003264FF" w:rsidRPr="003264FF" w:rsidRDefault="003264FF" w:rsidP="003264FF">
      <w:pPr>
        <w:numPr>
          <w:ilvl w:val="0"/>
          <w:numId w:val="10"/>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The City of Whittlesea has the highest rate of recidivist family violence offending for its Victoria Police division.</w:t>
      </w:r>
    </w:p>
    <w:p w:rsidR="003264FF" w:rsidRPr="003264FF" w:rsidRDefault="003264FF" w:rsidP="003264FF">
      <w:pPr>
        <w:spacing w:line="280" w:lineRule="exact"/>
        <w:ind w:left="720"/>
        <w:jc w:val="both"/>
        <w:rPr>
          <w:rFonts w:ascii="Arial" w:eastAsia="Calibri" w:hAnsi="Arial" w:cs="Arial"/>
          <w:sz w:val="22"/>
          <w:szCs w:val="22"/>
          <w:lang w:val="en-AU"/>
        </w:rPr>
      </w:pPr>
    </w:p>
    <w:p w:rsidR="003264FF" w:rsidRDefault="003264FF" w:rsidP="003264FF">
      <w:pPr>
        <w:numPr>
          <w:ilvl w:val="0"/>
          <w:numId w:val="10"/>
        </w:numPr>
        <w:spacing w:line="280" w:lineRule="exact"/>
        <w:jc w:val="both"/>
        <w:rPr>
          <w:rFonts w:ascii="Arial" w:eastAsia="Calibri" w:hAnsi="Arial" w:cs="Arial"/>
          <w:sz w:val="22"/>
          <w:szCs w:val="22"/>
          <w:lang w:val="en-AU"/>
        </w:rPr>
      </w:pPr>
      <w:r w:rsidRPr="003264FF">
        <w:rPr>
          <w:rFonts w:ascii="Arial" w:eastAsia="Calibri" w:hAnsi="Arial" w:cs="Arial"/>
          <w:sz w:val="22"/>
          <w:szCs w:val="22"/>
          <w:lang w:val="en-AU"/>
        </w:rPr>
        <w:t>The majority of the municipality is excluded from men’s behaviour change programs due to language restrictions.</w:t>
      </w:r>
    </w:p>
    <w:p w:rsidR="00865F23" w:rsidRDefault="00865F23" w:rsidP="00865F23">
      <w:pPr>
        <w:pStyle w:val="ListParagraph"/>
        <w:rPr>
          <w:rFonts w:ascii="Arial" w:eastAsia="Calibri" w:hAnsi="Arial" w:cs="Arial"/>
          <w:sz w:val="22"/>
          <w:szCs w:val="22"/>
          <w:lang w:val="en-AU"/>
        </w:rPr>
      </w:pPr>
    </w:p>
    <w:p w:rsidR="00FD5667" w:rsidRDefault="00FD5667" w:rsidP="00865F23">
      <w:pPr>
        <w:pStyle w:val="ListParagraph"/>
        <w:rPr>
          <w:rFonts w:ascii="Arial" w:eastAsia="Calibri" w:hAnsi="Arial" w:cs="Arial"/>
          <w:sz w:val="22"/>
          <w:szCs w:val="22"/>
          <w:lang w:val="en-AU"/>
        </w:rPr>
      </w:pPr>
    </w:p>
    <w:p w:rsidR="00FD5667" w:rsidRDefault="00FD5667" w:rsidP="00865F23">
      <w:pPr>
        <w:pStyle w:val="ListParagraph"/>
        <w:rPr>
          <w:rFonts w:ascii="Arial" w:eastAsia="Calibri" w:hAnsi="Arial" w:cs="Arial"/>
          <w:sz w:val="22"/>
          <w:szCs w:val="22"/>
          <w:lang w:val="en-AU"/>
        </w:rPr>
      </w:pPr>
    </w:p>
    <w:p w:rsidR="00FD5667" w:rsidRDefault="00FD5667" w:rsidP="00865F23">
      <w:pPr>
        <w:pStyle w:val="ListParagraph"/>
        <w:rPr>
          <w:rFonts w:ascii="Arial" w:eastAsia="Calibri" w:hAnsi="Arial" w:cs="Arial"/>
          <w:sz w:val="22"/>
          <w:szCs w:val="22"/>
          <w:lang w:val="en-AU"/>
        </w:rPr>
      </w:pPr>
    </w:p>
    <w:p w:rsidR="00865F23" w:rsidRDefault="00865F23" w:rsidP="00865F23">
      <w:pPr>
        <w:spacing w:line="280" w:lineRule="exact"/>
        <w:jc w:val="both"/>
        <w:rPr>
          <w:rFonts w:ascii="Arial" w:eastAsia="Calibri" w:hAnsi="Arial" w:cs="Arial"/>
          <w:sz w:val="22"/>
          <w:szCs w:val="22"/>
          <w:lang w:val="en-AU"/>
        </w:rPr>
      </w:pPr>
    </w:p>
    <w:p w:rsidR="00865F23" w:rsidRDefault="00865F23" w:rsidP="00865F23">
      <w:pPr>
        <w:spacing w:line="280" w:lineRule="exact"/>
        <w:jc w:val="both"/>
        <w:rPr>
          <w:rFonts w:ascii="Arial" w:eastAsia="Calibri" w:hAnsi="Arial" w:cs="Arial"/>
          <w:sz w:val="22"/>
          <w:szCs w:val="22"/>
          <w:lang w:val="en-AU"/>
        </w:rPr>
      </w:pPr>
    </w:p>
    <w:p w:rsidR="00865F23" w:rsidRDefault="00865F23" w:rsidP="00865F23">
      <w:pPr>
        <w:spacing w:line="280" w:lineRule="exact"/>
        <w:jc w:val="both"/>
        <w:rPr>
          <w:rFonts w:ascii="Arial" w:eastAsia="Calibri" w:hAnsi="Arial" w:cs="Arial"/>
          <w:sz w:val="22"/>
          <w:szCs w:val="22"/>
          <w:lang w:val="en-AU"/>
        </w:rPr>
      </w:pPr>
    </w:p>
    <w:p w:rsidR="00865F23" w:rsidRPr="003264FF" w:rsidRDefault="00865F23" w:rsidP="00865F23">
      <w:pPr>
        <w:spacing w:line="280" w:lineRule="exact"/>
        <w:jc w:val="both"/>
        <w:rPr>
          <w:rFonts w:ascii="Arial" w:eastAsia="Calibri" w:hAnsi="Arial" w:cs="Arial"/>
          <w:sz w:val="22"/>
          <w:szCs w:val="22"/>
          <w:lang w:val="en-AU"/>
        </w:rPr>
      </w:pPr>
    </w:p>
    <w:p w:rsidR="003264FF" w:rsidRPr="003264FF" w:rsidRDefault="003264FF" w:rsidP="003264FF">
      <w:pPr>
        <w:numPr>
          <w:ilvl w:val="0"/>
          <w:numId w:val="15"/>
        </w:numPr>
        <w:spacing w:line="280" w:lineRule="exact"/>
        <w:rPr>
          <w:rFonts w:ascii="Arial" w:eastAsia="Calibri" w:hAnsi="Arial" w:cs="Arial"/>
          <w:sz w:val="22"/>
          <w:szCs w:val="22"/>
        </w:rPr>
      </w:pPr>
      <w:r w:rsidRPr="003264FF">
        <w:rPr>
          <w:rFonts w:ascii="Arial" w:eastAsia="Calibri" w:hAnsi="Arial" w:cs="Arial"/>
          <w:sz w:val="22"/>
          <w:szCs w:val="22"/>
        </w:rPr>
        <w:t>The City of Whittlesea has one of the highest reported incidences of family violence in the Northern Metropolitan Region.</w:t>
      </w:r>
    </w:p>
    <w:p w:rsidR="003264FF" w:rsidRPr="003264FF" w:rsidRDefault="003264FF" w:rsidP="003264FF">
      <w:pPr>
        <w:spacing w:line="280" w:lineRule="exact"/>
        <w:ind w:left="720"/>
        <w:rPr>
          <w:rFonts w:ascii="Arial" w:eastAsia="Calibri" w:hAnsi="Arial" w:cs="Arial"/>
          <w:sz w:val="22"/>
          <w:szCs w:val="22"/>
        </w:rPr>
      </w:pPr>
    </w:p>
    <w:p w:rsidR="003264FF" w:rsidRPr="003264FF" w:rsidRDefault="003264FF" w:rsidP="003264FF">
      <w:pPr>
        <w:numPr>
          <w:ilvl w:val="0"/>
          <w:numId w:val="15"/>
        </w:numPr>
        <w:spacing w:line="280" w:lineRule="exact"/>
        <w:rPr>
          <w:rFonts w:ascii="Arial" w:eastAsia="Calibri" w:hAnsi="Arial" w:cs="Arial"/>
          <w:sz w:val="22"/>
          <w:szCs w:val="22"/>
          <w:lang w:val="en-GB"/>
        </w:rPr>
      </w:pPr>
      <w:r w:rsidRPr="003264FF">
        <w:rPr>
          <w:rFonts w:ascii="Arial" w:eastAsia="Calibri" w:hAnsi="Arial" w:cs="Arial"/>
          <w:sz w:val="22"/>
          <w:szCs w:val="22"/>
          <w:lang w:val="en-GB"/>
        </w:rPr>
        <w:t xml:space="preserve">There has been a 249% increase in reported incidences of family violence in the municipality since 1999. </w:t>
      </w:r>
    </w:p>
    <w:p w:rsidR="003264FF" w:rsidRPr="003264FF" w:rsidRDefault="003264FF" w:rsidP="003264FF">
      <w:pPr>
        <w:spacing w:line="280" w:lineRule="exact"/>
        <w:rPr>
          <w:rFonts w:ascii="Arial" w:eastAsia="Calibri" w:hAnsi="Arial" w:cs="Arial"/>
          <w:sz w:val="22"/>
          <w:szCs w:val="22"/>
          <w:lang w:val="en-GB"/>
        </w:rPr>
      </w:pPr>
    </w:p>
    <w:p w:rsidR="003264FF" w:rsidRPr="003264FF" w:rsidRDefault="003264FF" w:rsidP="003264FF">
      <w:pPr>
        <w:numPr>
          <w:ilvl w:val="0"/>
          <w:numId w:val="15"/>
        </w:numPr>
        <w:spacing w:line="280" w:lineRule="exact"/>
        <w:rPr>
          <w:rFonts w:ascii="Arial" w:eastAsia="Calibri" w:hAnsi="Arial" w:cs="Arial"/>
          <w:sz w:val="22"/>
          <w:szCs w:val="22"/>
          <w:lang w:val="en-GB"/>
        </w:rPr>
      </w:pPr>
      <w:r w:rsidRPr="003264FF">
        <w:rPr>
          <w:rFonts w:ascii="Arial" w:eastAsia="Calibri" w:hAnsi="Arial" w:cs="Arial"/>
          <w:sz w:val="22"/>
          <w:szCs w:val="22"/>
          <w:lang w:val="en-GB"/>
        </w:rPr>
        <w:t>Family violence in the City of Whittlesea is at an unacceptably high level and will continue to increase as the population grows.</w:t>
      </w:r>
    </w:p>
    <w:p w:rsidR="003264FF" w:rsidRPr="003264FF" w:rsidRDefault="003264FF" w:rsidP="003264FF">
      <w:pPr>
        <w:spacing w:line="280" w:lineRule="exact"/>
        <w:rPr>
          <w:rFonts w:ascii="Arial" w:eastAsia="Calibri" w:hAnsi="Arial" w:cs="Arial"/>
          <w:sz w:val="22"/>
          <w:szCs w:val="22"/>
          <w:lang w:val="en-GB"/>
        </w:rPr>
      </w:pPr>
    </w:p>
    <w:p w:rsidR="003264FF" w:rsidRPr="003264FF" w:rsidRDefault="003264FF" w:rsidP="003264FF">
      <w:pPr>
        <w:numPr>
          <w:ilvl w:val="0"/>
          <w:numId w:val="15"/>
        </w:numPr>
        <w:spacing w:line="280" w:lineRule="exact"/>
        <w:rPr>
          <w:rFonts w:ascii="Arial" w:eastAsia="Calibri" w:hAnsi="Arial" w:cs="Arial"/>
          <w:sz w:val="22"/>
          <w:szCs w:val="22"/>
          <w:lang w:val="en-GB"/>
        </w:rPr>
      </w:pPr>
      <w:r w:rsidRPr="003264FF">
        <w:rPr>
          <w:rFonts w:ascii="Arial" w:eastAsia="Calibri" w:hAnsi="Arial" w:cs="Arial"/>
          <w:sz w:val="22"/>
          <w:szCs w:val="22"/>
          <w:lang w:val="en-GB"/>
        </w:rPr>
        <w:t>Over 40% of residents in the municipality speak a language other than English at home, compared to the Melbourne average of 29%.</w:t>
      </w:r>
    </w:p>
    <w:p w:rsidR="003264FF" w:rsidRPr="003264FF" w:rsidRDefault="003264FF" w:rsidP="003264FF">
      <w:pPr>
        <w:spacing w:line="280" w:lineRule="exact"/>
        <w:ind w:left="-1800" w:right="-1800" w:firstLine="1800"/>
        <w:rPr>
          <w:rFonts w:ascii="Arial" w:hAnsi="Arial" w:cs="Arial"/>
          <w:sz w:val="22"/>
          <w:szCs w:val="22"/>
          <w:lang w:val="en-AU"/>
        </w:rPr>
      </w:pPr>
    </w:p>
    <w:p w:rsidR="005B6C61" w:rsidRDefault="000E73D4" w:rsidP="00FD5667">
      <w:pPr>
        <w:spacing w:line="280" w:lineRule="exact"/>
        <w:ind w:left="720" w:right="-1800"/>
        <w:rPr>
          <w:rFonts w:ascii="Arial" w:hAnsi="Arial" w:cs="Arial"/>
          <w:sz w:val="22"/>
          <w:szCs w:val="22"/>
          <w:lang w:val="en-AU"/>
        </w:rPr>
      </w:pPr>
    </w:p>
    <w:p w:rsidR="00FD5667" w:rsidRPr="003264FF" w:rsidRDefault="00FD5667" w:rsidP="003264FF">
      <w:pPr>
        <w:spacing w:line="280" w:lineRule="exact"/>
        <w:ind w:left="-1800" w:right="-1800" w:firstLine="1800"/>
        <w:rPr>
          <w:rFonts w:ascii="Arial" w:hAnsi="Arial" w:cs="Arial"/>
          <w:sz w:val="22"/>
          <w:szCs w:val="22"/>
          <w:lang w:val="en-AU"/>
        </w:rPr>
      </w:pPr>
    </w:p>
    <w:sectPr w:rsidR="00FD5667" w:rsidRPr="003264FF" w:rsidSect="004B0A9C">
      <w:headerReference w:type="even" r:id="rId8"/>
      <w:headerReference w:type="default" r:id="rId9"/>
      <w:footerReference w:type="default" r:id="rId10"/>
      <w:headerReference w:type="first" r:id="rId11"/>
      <w:pgSz w:w="11900" w:h="16840"/>
      <w:pgMar w:top="238" w:right="1134" w:bottom="1418" w:left="1134" w:header="709" w:footer="113"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5C" w:rsidRDefault="00C212ED">
      <w:r>
        <w:separator/>
      </w:r>
    </w:p>
  </w:endnote>
  <w:endnote w:type="continuationSeparator" w:id="0">
    <w:p w:rsidR="0041515C" w:rsidRDefault="00C212ED">
      <w:r>
        <w:continuationSeparator/>
      </w:r>
    </w:p>
  </w:endnote>
  <w:endnote w:id="1">
    <w:p w:rsidR="003264FF" w:rsidRPr="001B0202" w:rsidRDefault="003264FF" w:rsidP="003264FF">
      <w:pPr>
        <w:pStyle w:val="EndnoteText"/>
        <w:rPr>
          <w:lang w:val="en-AU"/>
        </w:rPr>
      </w:pPr>
      <w:r>
        <w:rPr>
          <w:rStyle w:val="EndnoteReference"/>
        </w:rPr>
        <w:endnoteRef/>
      </w:r>
      <w:r>
        <w:t xml:space="preserve"> </w:t>
      </w:r>
      <w:r>
        <w:rPr>
          <w:lang w:val="en-AU"/>
        </w:rPr>
        <w:t xml:space="preserve">Victoria Police Family Incident Reports </w:t>
      </w:r>
      <w:r w:rsidRPr="009844C4">
        <w:rPr>
          <w:lang w:val="en-AU"/>
        </w:rPr>
        <w:t>http://www.police.vic.gov.au/content.asp?a=internetBridgingPage&amp;Media_ID=72311</w:t>
      </w:r>
    </w:p>
  </w:endnote>
  <w:endnote w:id="2">
    <w:p w:rsidR="003264FF" w:rsidRPr="001B0202" w:rsidRDefault="003264FF" w:rsidP="003264FF">
      <w:pPr>
        <w:pStyle w:val="EndnoteText"/>
        <w:rPr>
          <w:lang w:val="en-AU"/>
        </w:rPr>
      </w:pPr>
      <w:r>
        <w:rPr>
          <w:rStyle w:val="EndnoteReference"/>
        </w:rPr>
        <w:endnoteRef/>
      </w:r>
      <w:r>
        <w:t xml:space="preserve"> </w:t>
      </w:r>
      <w:r>
        <w:rPr>
          <w:lang w:val="en-AU"/>
        </w:rPr>
        <w:t>Women’s Health In the North Family Violence Fact Sheet Whittlesea LGA 2012-2013</w:t>
      </w:r>
    </w:p>
  </w:endnote>
  <w:endnote w:id="3">
    <w:p w:rsidR="003264FF" w:rsidRPr="001B0202" w:rsidRDefault="003264FF" w:rsidP="003264FF">
      <w:pPr>
        <w:pStyle w:val="EndnoteText"/>
        <w:rPr>
          <w:lang w:val="en-AU"/>
        </w:rPr>
      </w:pPr>
      <w:r>
        <w:rPr>
          <w:rStyle w:val="EndnoteReference"/>
        </w:rPr>
        <w:endnoteRef/>
      </w:r>
      <w:r>
        <w:t xml:space="preserve"> Police referrals received by NFDVS by LGA Financial Year Comparison July 2009 - June 2013</w:t>
      </w:r>
    </w:p>
  </w:endnote>
  <w:endnote w:id="4">
    <w:p w:rsidR="003264FF" w:rsidRPr="00F47837" w:rsidRDefault="003264FF" w:rsidP="003264FF">
      <w:pPr>
        <w:pStyle w:val="EndnoteText"/>
        <w:rPr>
          <w:lang w:val="en-AU"/>
        </w:rPr>
      </w:pPr>
      <w:r>
        <w:rPr>
          <w:rStyle w:val="EndnoteReference"/>
        </w:rPr>
        <w:endnoteRef/>
      </w:r>
      <w:r>
        <w:t xml:space="preserve"> </w:t>
      </w:r>
      <w:r w:rsidRPr="00F47837">
        <w:rPr>
          <w:lang w:val="en-AU"/>
        </w:rPr>
        <w:t>where police have attended three or more times in the past 12 months</w:t>
      </w:r>
    </w:p>
  </w:endnote>
  <w:endnote w:id="5">
    <w:p w:rsidR="003264FF" w:rsidRPr="00026EB4" w:rsidRDefault="003264FF" w:rsidP="003264FF">
      <w:pPr>
        <w:pStyle w:val="EndnoteText"/>
        <w:rPr>
          <w:lang w:val="en-AU"/>
        </w:rPr>
      </w:pPr>
      <w:r>
        <w:rPr>
          <w:rStyle w:val="EndnoteReference"/>
        </w:rPr>
        <w:endnoteRef/>
      </w:r>
      <w:r>
        <w:t xml:space="preserve"> Whittlesea Community Connections Family Violence Monitor Report #6 2013</w:t>
      </w:r>
    </w:p>
  </w:endnote>
  <w:endnote w:id="6">
    <w:p w:rsidR="003264FF" w:rsidRPr="00D748A7" w:rsidRDefault="003264FF" w:rsidP="003264FF">
      <w:pPr>
        <w:pStyle w:val="EndnoteText"/>
        <w:rPr>
          <w:lang w:val="en-AU"/>
        </w:rPr>
      </w:pPr>
      <w:r>
        <w:rPr>
          <w:rStyle w:val="EndnoteReference"/>
        </w:rPr>
        <w:endnoteRef/>
      </w:r>
      <w:r>
        <w:t xml:space="preserve"> </w:t>
      </w:r>
      <w:r w:rsidRPr="00E9745F">
        <w:t xml:space="preserve">City of Whittlesea </w:t>
      </w:r>
      <w:r w:rsidRPr="00E9745F">
        <w:rPr>
          <w:lang w:val="en-AU"/>
        </w:rPr>
        <w:t>Draft Human Services Needs Analysis 2013</w:t>
      </w:r>
    </w:p>
  </w:endnote>
  <w:endnote w:id="7">
    <w:p w:rsidR="003264FF" w:rsidRPr="00026EB4" w:rsidRDefault="003264FF" w:rsidP="003264FF">
      <w:pPr>
        <w:pStyle w:val="EndnoteText"/>
        <w:rPr>
          <w:lang w:val="en-AU"/>
        </w:rPr>
      </w:pPr>
      <w:r>
        <w:rPr>
          <w:rStyle w:val="EndnoteReference"/>
        </w:rPr>
        <w:endnoteRef/>
      </w:r>
      <w:r>
        <w:t xml:space="preserve"> </w:t>
      </w:r>
      <w:proofErr w:type="spellStart"/>
      <w:r>
        <w:t>Kildonan</w:t>
      </w:r>
      <w:proofErr w:type="spellEnd"/>
      <w:r>
        <w:t xml:space="preserve"> Uniting Care, October 2013</w:t>
      </w:r>
    </w:p>
  </w:endnote>
  <w:endnote w:id="8">
    <w:p w:rsidR="003264FF" w:rsidRPr="00C53D3E" w:rsidRDefault="003264FF" w:rsidP="003264FF">
      <w:pPr>
        <w:pStyle w:val="EndnoteText"/>
        <w:rPr>
          <w:lang w:val="en-AU"/>
        </w:rPr>
      </w:pPr>
      <w:r>
        <w:rPr>
          <w:rStyle w:val="EndnoteReference"/>
        </w:rPr>
        <w:endnoteRef/>
      </w:r>
      <w:r>
        <w:t xml:space="preserve"> ‘</w:t>
      </w:r>
      <w:r w:rsidRPr="00C53D3E">
        <w:rPr>
          <w:bCs/>
          <w:lang w:val="en-AU"/>
        </w:rPr>
        <w:t>Coalition Government boosts commitment to break the cycle of violence</w:t>
      </w:r>
      <w:r>
        <w:rPr>
          <w:bCs/>
          <w:lang w:val="en-AU"/>
        </w:rPr>
        <w:t>’</w:t>
      </w:r>
      <w:r w:rsidRPr="00C53D3E">
        <w:rPr>
          <w:bCs/>
          <w:lang w:val="en-AU"/>
        </w:rPr>
        <w:t xml:space="preserve"> </w:t>
      </w:r>
      <w:r w:rsidRPr="00C53D3E">
        <w:t>http://www.premier.vic.gov.au/media-centre/media-releases/9544-coalition-government-boosts-commitment-to-break-the-cycle-of-violence.html</w:t>
      </w:r>
    </w:p>
  </w:endnote>
  <w:endnote w:id="9">
    <w:p w:rsidR="003264FF" w:rsidRPr="00663148" w:rsidRDefault="003264FF" w:rsidP="003264FF">
      <w:pPr>
        <w:pStyle w:val="EndnoteText"/>
        <w:rPr>
          <w:lang w:val="en-AU"/>
        </w:rPr>
      </w:pPr>
      <w:r>
        <w:rPr>
          <w:rStyle w:val="EndnoteReference"/>
        </w:rPr>
        <w:endnoteRef/>
      </w:r>
      <w:r>
        <w:t xml:space="preserve"> Figures are approximate and based on evidence from No </w:t>
      </w:r>
      <w:proofErr w:type="gramStart"/>
      <w:r>
        <w:t>To</w:t>
      </w:r>
      <w:proofErr w:type="gramEnd"/>
      <w:r>
        <w:t xml:space="preserve"> Violence.  </w:t>
      </w:r>
      <w:r>
        <w:rPr>
          <w:lang w:val="en-AU"/>
        </w:rPr>
        <w:t>Recent announcement has led to an increase in places available.  Figures will be slightly different to what is stated in this fact sheet.</w:t>
      </w:r>
    </w:p>
  </w:endnote>
  <w:endnote w:id="10">
    <w:p w:rsidR="003264FF" w:rsidRPr="00C52745" w:rsidRDefault="003264FF" w:rsidP="003264FF">
      <w:pPr>
        <w:pStyle w:val="EndnoteText"/>
        <w:rPr>
          <w:lang w:val="en-AU"/>
        </w:rPr>
      </w:pPr>
      <w:r>
        <w:rPr>
          <w:rStyle w:val="EndnoteReference"/>
        </w:rPr>
        <w:endnoteRef/>
      </w:r>
      <w:r>
        <w:t xml:space="preserve"> </w:t>
      </w:r>
      <w:r>
        <w:rPr>
          <w:lang w:val="en-AU"/>
        </w:rPr>
        <w:t xml:space="preserve">No To Violence Male Family Violence Prevention Association 2013 Holding men who perpetrate family violence accountable: A system nearing crisis point </w:t>
      </w:r>
      <w:hyperlink r:id="rId1" w:history="1">
        <w:r w:rsidRPr="00651320">
          <w:rPr>
            <w:rStyle w:val="Hyperlink1"/>
            <w:lang w:val="en-AU"/>
          </w:rPr>
          <w:t>http://ntv.org.au/wp-content/uploads/2013-NTV-submission-mbcp-funding.pdf</w:t>
        </w:r>
      </w:hyperlink>
      <w:r>
        <w:rPr>
          <w:lang w:val="en-AU"/>
        </w:rPr>
        <w:t xml:space="preserve"> accessed 17 March 2014</w:t>
      </w:r>
    </w:p>
  </w:endnote>
  <w:endnote w:id="11">
    <w:p w:rsidR="003264FF" w:rsidRPr="00026EB4" w:rsidRDefault="003264FF" w:rsidP="003264FF">
      <w:pPr>
        <w:pStyle w:val="EndnoteText"/>
        <w:rPr>
          <w:lang w:val="en-AU"/>
        </w:rPr>
      </w:pPr>
      <w:r>
        <w:rPr>
          <w:rStyle w:val="EndnoteReference"/>
        </w:rPr>
        <w:endnoteRef/>
      </w:r>
      <w:r>
        <w:t xml:space="preserve"> </w:t>
      </w:r>
      <w:r>
        <w:rPr>
          <w:lang w:val="en-GB"/>
        </w:rPr>
        <w:t xml:space="preserve">91 are allocated to </w:t>
      </w:r>
      <w:proofErr w:type="spellStart"/>
      <w:r>
        <w:rPr>
          <w:lang w:val="en-GB"/>
        </w:rPr>
        <w:t>Kildonan</w:t>
      </w:r>
      <w:proofErr w:type="spellEnd"/>
      <w:r>
        <w:rPr>
          <w:lang w:val="en-GB"/>
        </w:rPr>
        <w:t xml:space="preserve"> Uniting Care; 36 to Plenty Valley Community Health Men’s Active Referral Service</w:t>
      </w:r>
    </w:p>
  </w:endnote>
  <w:endnote w:id="12">
    <w:p w:rsidR="003264FF" w:rsidRPr="00663148" w:rsidRDefault="003264FF" w:rsidP="003264FF">
      <w:pPr>
        <w:pStyle w:val="EndnoteText"/>
        <w:rPr>
          <w:lang w:val="en-AU"/>
        </w:rPr>
      </w:pPr>
      <w:r>
        <w:rPr>
          <w:rStyle w:val="EndnoteReference"/>
        </w:rPr>
        <w:endnoteRef/>
      </w:r>
      <w:r>
        <w:t xml:space="preserve"> </w:t>
      </w:r>
      <w:r>
        <w:rPr>
          <w:lang w:val="en-AU"/>
        </w:rPr>
        <w:t>As per ix</w:t>
      </w:r>
    </w:p>
  </w:endnote>
  <w:endnote w:id="13">
    <w:p w:rsidR="003264FF" w:rsidRDefault="003264FF" w:rsidP="003264FF">
      <w:pPr>
        <w:pStyle w:val="EndnoteText"/>
      </w:pPr>
      <w:r>
        <w:rPr>
          <w:rStyle w:val="EndnoteReference"/>
        </w:rPr>
        <w:endnoteRef/>
      </w:r>
      <w:r>
        <w:t xml:space="preserve"> Whittlesea CALD Communities Family Violence Scoping Exercise Report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02629"/>
      <w:docPartObj>
        <w:docPartGallery w:val="Page Numbers (Bottom of Page)"/>
        <w:docPartUnique/>
      </w:docPartObj>
    </w:sdtPr>
    <w:sdtEndPr>
      <w:rPr>
        <w:noProof/>
      </w:rPr>
    </w:sdtEndPr>
    <w:sdtContent>
      <w:p w:rsidR="004B0A9C" w:rsidRDefault="004B0A9C">
        <w:pPr>
          <w:pStyle w:val="Footer"/>
          <w:jc w:val="right"/>
        </w:pPr>
        <w:r w:rsidRPr="004B0A9C">
          <w:rPr>
            <w:sz w:val="16"/>
          </w:rPr>
          <w:fldChar w:fldCharType="begin"/>
        </w:r>
        <w:r w:rsidRPr="004B0A9C">
          <w:rPr>
            <w:sz w:val="16"/>
          </w:rPr>
          <w:instrText xml:space="preserve"> PAGE   \* MERGEFORMAT </w:instrText>
        </w:r>
        <w:r w:rsidRPr="004B0A9C">
          <w:rPr>
            <w:sz w:val="16"/>
          </w:rPr>
          <w:fldChar w:fldCharType="separate"/>
        </w:r>
        <w:r w:rsidR="000E73D4">
          <w:rPr>
            <w:noProof/>
            <w:sz w:val="16"/>
          </w:rPr>
          <w:t>29</w:t>
        </w:r>
        <w:r w:rsidRPr="004B0A9C">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5C" w:rsidRDefault="00C212ED">
      <w:r>
        <w:separator/>
      </w:r>
    </w:p>
  </w:footnote>
  <w:footnote w:type="continuationSeparator" w:id="0">
    <w:p w:rsidR="0041515C"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0E73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0E73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0E73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47A5CCF"/>
    <w:multiLevelType w:val="hybridMultilevel"/>
    <w:tmpl w:val="8934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9129B"/>
    <w:multiLevelType w:val="hybridMultilevel"/>
    <w:tmpl w:val="FDF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887C28"/>
    <w:multiLevelType w:val="hybridMultilevel"/>
    <w:tmpl w:val="B106B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C02973"/>
    <w:multiLevelType w:val="hybridMultilevel"/>
    <w:tmpl w:val="BD5C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C96387"/>
    <w:multiLevelType w:val="hybridMultilevel"/>
    <w:tmpl w:val="F0F0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7E3D48"/>
    <w:multiLevelType w:val="hybridMultilevel"/>
    <w:tmpl w:val="103AC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F73084"/>
    <w:multiLevelType w:val="hybridMultilevel"/>
    <w:tmpl w:val="FFD07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97A176A"/>
    <w:multiLevelType w:val="hybridMultilevel"/>
    <w:tmpl w:val="C030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E67134"/>
    <w:multiLevelType w:val="hybridMultilevel"/>
    <w:tmpl w:val="4FEEF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5"/>
  </w:num>
  <w:num w:numId="5">
    <w:abstractNumId w:val="2"/>
  </w:num>
  <w:num w:numId="6">
    <w:abstractNumId w:val="8"/>
  </w:num>
  <w:num w:numId="7">
    <w:abstractNumId w:val="12"/>
  </w:num>
  <w:num w:numId="8">
    <w:abstractNumId w:val="5"/>
  </w:num>
  <w:num w:numId="9">
    <w:abstractNumId w:val="9"/>
  </w:num>
  <w:num w:numId="10">
    <w:abstractNumId w:val="1"/>
  </w:num>
  <w:num w:numId="11">
    <w:abstractNumId w:val="4"/>
  </w:num>
  <w:num w:numId="12">
    <w:abstractNumId w:val="16"/>
  </w:num>
  <w:num w:numId="13">
    <w:abstractNumId w:val="7"/>
  </w:num>
  <w:num w:numId="14">
    <w:abstractNumId w:val="6"/>
  </w:num>
  <w:num w:numId="15">
    <w:abstractNumId w:val="11"/>
  </w:num>
  <w:num w:numId="16">
    <w:abstractNumId w:val="1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0E73D4"/>
    <w:rsid w:val="003264FF"/>
    <w:rsid w:val="003D7C6B"/>
    <w:rsid w:val="003F783A"/>
    <w:rsid w:val="0041515C"/>
    <w:rsid w:val="004B0A9C"/>
    <w:rsid w:val="00702727"/>
    <w:rsid w:val="007C206F"/>
    <w:rsid w:val="00865F23"/>
    <w:rsid w:val="00C212ED"/>
    <w:rsid w:val="00DC156E"/>
    <w:rsid w:val="00F063AF"/>
    <w:rsid w:val="00F3282B"/>
    <w:rsid w:val="00FD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TableGrid2">
    <w:name w:val="Table Grid2"/>
    <w:basedOn w:val="TableNormal"/>
    <w:next w:val="TableGrid"/>
    <w:uiPriority w:val="59"/>
    <w:rsid w:val="003264FF"/>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next w:val="LightGrid-Accent1"/>
    <w:uiPriority w:val="62"/>
    <w:rsid w:val="003264FF"/>
    <w:rPr>
      <w:sz w:val="22"/>
      <w:szCs w:val="22"/>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yperlink1">
    <w:name w:val="Hyperlink1"/>
    <w:basedOn w:val="DefaultParagraphFont"/>
    <w:uiPriority w:val="99"/>
    <w:unhideWhenUsed/>
    <w:rsid w:val="003264FF"/>
    <w:rPr>
      <w:color w:val="0000FF"/>
      <w:u w:val="single"/>
    </w:rPr>
  </w:style>
  <w:style w:type="table" w:styleId="LightGrid-Accent1">
    <w:name w:val="Light Grid Accent 1"/>
    <w:basedOn w:val="TableNormal"/>
    <w:uiPriority w:val="62"/>
    <w:rsid w:val="003264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semiHidden/>
    <w:unhideWhenUsed/>
    <w:rsid w:val="003264FF"/>
    <w:rPr>
      <w:color w:val="0000FF" w:themeColor="hyperlink"/>
      <w:u w:val="single"/>
    </w:rPr>
  </w:style>
  <w:style w:type="paragraph" w:styleId="ListParagraph">
    <w:name w:val="List Paragraph"/>
    <w:basedOn w:val="Normal"/>
    <w:uiPriority w:val="34"/>
    <w:qFormat/>
    <w:rsid w:val="003D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TableGrid2">
    <w:name w:val="Table Grid2"/>
    <w:basedOn w:val="TableNormal"/>
    <w:next w:val="TableGrid"/>
    <w:uiPriority w:val="59"/>
    <w:rsid w:val="003264FF"/>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next w:val="LightGrid-Accent1"/>
    <w:uiPriority w:val="62"/>
    <w:rsid w:val="003264FF"/>
    <w:rPr>
      <w:sz w:val="22"/>
      <w:szCs w:val="22"/>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yperlink1">
    <w:name w:val="Hyperlink1"/>
    <w:basedOn w:val="DefaultParagraphFont"/>
    <w:uiPriority w:val="99"/>
    <w:unhideWhenUsed/>
    <w:rsid w:val="003264FF"/>
    <w:rPr>
      <w:color w:val="0000FF"/>
      <w:u w:val="single"/>
    </w:rPr>
  </w:style>
  <w:style w:type="table" w:styleId="LightGrid-Accent1">
    <w:name w:val="Light Grid Accent 1"/>
    <w:basedOn w:val="TableNormal"/>
    <w:uiPriority w:val="62"/>
    <w:rsid w:val="003264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semiHidden/>
    <w:unhideWhenUsed/>
    <w:rsid w:val="003264FF"/>
    <w:rPr>
      <w:color w:val="0000FF" w:themeColor="hyperlink"/>
      <w:u w:val="single"/>
    </w:rPr>
  </w:style>
  <w:style w:type="paragraph" w:styleId="ListParagraph">
    <w:name w:val="List Paragraph"/>
    <w:basedOn w:val="Normal"/>
    <w:uiPriority w:val="34"/>
    <w:qFormat/>
    <w:rsid w:val="003D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ntv.org.au/wp-content/uploads/2013-NTV-submission-mbcp-fund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E1E3C7B9.dotm</Template>
  <TotalTime>13</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6</cp:revision>
  <cp:lastPrinted>2014-08-28T04:22:00Z</cp:lastPrinted>
  <dcterms:created xsi:type="dcterms:W3CDTF">2014-08-27T05:42:00Z</dcterms:created>
  <dcterms:modified xsi:type="dcterms:W3CDTF">2014-08-28T04:23:00Z</dcterms:modified>
</cp:coreProperties>
</file>